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after="0" w:line="360" w:lineRule="auto"/>
        <w:jc w:val="both"/>
        <w:rPr>
          <w:rFonts w:ascii="方正黑体_GBK" w:eastAsia="方正黑体_GBK" w:cs="方正黑体_GBK" w:hint="eastAsia"/>
          <w:sz w:val="32"/>
          <w:szCs w:val="32"/>
          <w:lang w:val="en-US" w:eastAsia="zh-CN"/>
        </w:rPr>
      </w:pPr>
      <w:bookmarkStart w:id="0" w:name="_GoBack"/>
      <w:bookmarkEnd w:id="0"/>
      <w:r>
        <w:rPr>
          <w:rFonts w:ascii="方正黑体_GBK" w:eastAsia="方正黑体_GBK" w:cs="方正黑体_GBK" w:hint="eastAsia"/>
          <w:sz w:val="32"/>
          <w:szCs w:val="32"/>
          <w:lang w:val="en-US" w:eastAsia="zh-CN"/>
        </w:rPr>
        <w:t>附件1</w:t>
      </w:r>
    </w:p>
    <w:p>
      <w:pPr>
        <w:spacing w:after="0" w:line="240" w:lineRule="auto"/>
        <w:jc w:val="center"/>
        <w:rPr>
          <w:b/>
          <w:sz w:val="28"/>
          <w:lang w:val="en-GB"/>
        </w:rPr>
      </w:pPr>
      <w:r>
        <w:rPr>
          <w:rFonts w:ascii="方正小标宋_GBK" w:eastAsia="方正小标宋_GBK" w:cs="方正小标宋_GBK" w:hint="eastAsia"/>
          <w:b w:val="0"/>
          <w:bCs/>
          <w:sz w:val="36"/>
          <w:szCs w:val="36"/>
          <w:lang w:val="en-US" w:eastAsia="zh-CN"/>
        </w:rPr>
        <w:t>产品特定原产地规则</w:t>
      </w:r>
    </w:p>
    <w:p>
      <w:pPr>
        <w:pStyle w:val="39"/>
        <w:spacing w:line="560" w:lineRule="exact"/>
        <w:ind w:firstLineChars="200" w:firstLine="480"/>
        <w:rPr>
          <w:rFonts w:ascii="Times New Roman" w:eastAsia="方正仿宋_GBK" w:cs="Times New Roman" w:hAnsi="Times New Roman"/>
          <w:kern w:val="0"/>
          <w:sz w:val="24"/>
          <w:szCs w:val="24"/>
          <w:lang w:eastAsia="es-ES"/>
        </w:rPr>
      </w:pPr>
    </w:p>
    <w:tbl>
      <w:tblPr>
        <w:jc w:val="left"/>
        <w:tblInd w:w="55" w:type="dxa"/>
        <w:tblW w:w="9205" w:type="dxa"/>
        <w:tblBorders>
          <w:top w:val="none" w:sz="0" w:space="0" w:color="auto"/>
          <w:left w:val="none" w:sz="0" w:space="0" w:color="auto"/>
          <w:bottom w:val="none" w:sz="0" w:space="0" w:color="auto"/>
          <w:right w:val="none" w:sz="0" w:space="0" w:color="auto"/>
        </w:tblBorders>
        <w:tblCellMar>
          <w:top w:w="0" w:type="dxa"/>
          <w:left w:w="70" w:type="dxa"/>
          <w:bottom w:w="0" w:type="dxa"/>
          <w:right w:w="70" w:type="dxa"/>
        </w:tblCellMar>
      </w:tblPr>
      <w:tblGrid>
        <w:gridCol w:w="1116"/>
        <w:gridCol w:w="1551"/>
        <w:gridCol w:w="6539"/>
      </w:tblGrid>
      <w:tr>
        <w:trPr>
          <w:trHeight w:val="345"/>
          <w:tblHeader/>
        </w:trPr>
        <w:tc>
          <w:tcPr>
            <w:tcW w:w="1116" w:type="dxa"/>
            <w:tcBorders>
              <w:top w:val="single" w:sz="4" w:space="0" w:color="auto"/>
              <w:left w:val="single" w:sz="4" w:space="0" w:color="auto"/>
              <w:bottom w:val="single" w:sz="4" w:space="0" w:color="auto"/>
              <w:right w:val="single" w:sz="4" w:space="0" w:color="000000"/>
            </w:tcBorders>
            <w:shd w:val="clear" w:color="000000" w:fill="C0C0C0"/>
            <w:vAlign w:val="center"/>
          </w:tcPr>
          <w:p>
            <w:pPr>
              <w:spacing w:after="0" w:line="240" w:lineRule="auto"/>
              <w:jc w:val="center"/>
              <w:rPr>
                <w:rFonts w:ascii="Times New Roman" w:eastAsia="方正仿宋_GBK" w:cs="Times New Roman" w:hAnsi="Times New Roman"/>
                <w:b/>
                <w:bCs/>
                <w:sz w:val="24"/>
                <w:szCs w:val="24"/>
                <w:lang w:eastAsia="zh-CN"/>
              </w:rPr>
            </w:pPr>
            <w:r>
              <w:rPr>
                <w:rFonts w:ascii="Times New Roman" w:eastAsia="方正仿宋_GBK" w:cs="Times New Roman" w:hAnsi="Times New Roman"/>
                <w:b/>
                <w:bCs/>
                <w:sz w:val="24"/>
                <w:szCs w:val="24"/>
                <w:lang w:eastAsia="zh-CN"/>
              </w:rPr>
              <w:t>品目</w:t>
            </w:r>
          </w:p>
        </w:tc>
        <w:tc>
          <w:tcPr>
            <w:tcW w:w="1551" w:type="dxa"/>
            <w:tcBorders>
              <w:top w:val="single" w:sz="4" w:space="0" w:color="auto"/>
              <w:left w:val="single" w:sz="4" w:space="0" w:color="auto"/>
              <w:bottom w:val="single" w:sz="4" w:space="0" w:color="auto"/>
              <w:right w:val="single" w:sz="4" w:space="0" w:color="000000"/>
            </w:tcBorders>
            <w:shd w:val="clear" w:color="000000" w:fill="C0C0C0"/>
            <w:vAlign w:val="center"/>
          </w:tcPr>
          <w:p>
            <w:pPr>
              <w:spacing w:after="0" w:line="240" w:lineRule="auto"/>
              <w:jc w:val="center"/>
              <w:rPr>
                <w:rFonts w:ascii="Times New Roman" w:eastAsia="方正仿宋_GBK" w:cs="Times New Roman" w:hAnsi="Times New Roman"/>
                <w:b/>
                <w:bCs/>
                <w:sz w:val="24"/>
                <w:szCs w:val="24"/>
                <w:lang w:eastAsia="zh-CN"/>
              </w:rPr>
            </w:pPr>
            <w:r>
              <w:rPr>
                <w:rFonts w:ascii="Times New Roman" w:eastAsia="方正仿宋_GBK" w:cs="Times New Roman" w:hAnsi="Times New Roman"/>
                <w:b/>
                <w:bCs/>
                <w:sz w:val="24"/>
                <w:szCs w:val="24"/>
                <w:lang w:eastAsia="zh-CN"/>
              </w:rPr>
              <w:t>子目</w:t>
            </w:r>
          </w:p>
        </w:tc>
        <w:tc>
          <w:tcPr>
            <w:tcW w:w="6539" w:type="dxa"/>
            <w:tcBorders>
              <w:top w:val="single" w:sz="4" w:space="0" w:color="auto"/>
              <w:left w:val="nil"/>
              <w:bottom w:val="single" w:sz="4" w:space="0" w:color="auto"/>
              <w:right w:val="single" w:sz="4" w:space="0" w:color="auto"/>
            </w:tcBorders>
            <w:shd w:val="clear" w:color="000000" w:fill="C0C0C0"/>
            <w:vAlign w:val="center"/>
          </w:tcPr>
          <w:p>
            <w:pPr>
              <w:spacing w:after="0" w:line="240" w:lineRule="auto"/>
              <w:jc w:val="center"/>
              <w:rPr>
                <w:rFonts w:ascii="Times New Roman" w:eastAsia="方正仿宋_GBK" w:cs="Times New Roman" w:hAnsi="Times New Roman"/>
                <w:b/>
                <w:bCs/>
                <w:sz w:val="24"/>
                <w:szCs w:val="24"/>
                <w:lang w:eastAsia="es-ES"/>
              </w:rPr>
            </w:pPr>
            <w:r>
              <w:rPr>
                <w:rFonts w:ascii="Times New Roman" w:eastAsia="方正仿宋_GBK" w:cs="Times New Roman" w:hAnsi="Times New Roman"/>
                <w:b/>
                <w:bCs/>
                <w:sz w:val="24"/>
                <w:szCs w:val="24"/>
                <w:lang w:eastAsia="es-ES"/>
              </w:rPr>
              <w:t>产品特定原产地规则</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第一类 活动物；动物产品</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eastAsia="zh-CN"/>
              </w:rPr>
            </w:pPr>
            <w:r>
              <w:rPr>
                <w:rFonts w:ascii="Times New Roman" w:eastAsia="方正仿宋_GBK" w:cs="Times New Roman" w:hAnsi="Times New Roman"/>
                <w:b/>
                <w:bCs/>
                <w:sz w:val="24"/>
                <w:szCs w:val="24"/>
                <w:lang w:val="en-US" w:eastAsia="zh-CN"/>
              </w:rPr>
              <w:t>第一章</w:t>
            </w:r>
            <w:r>
              <w:rPr>
                <w:rFonts w:ascii="Times New Roman" w:eastAsia="方正仿宋_GBK" w:cs="Times New Roman" w:hAnsi="Times New Roman"/>
                <w:b/>
                <w:bCs/>
                <w:sz w:val="24"/>
                <w:szCs w:val="24"/>
                <w:lang w:val="en-US" w:eastAsia="es-ES"/>
              </w:rPr>
              <w:t xml:space="preserve"> </w:t>
            </w:r>
            <w:r>
              <w:rPr>
                <w:rFonts w:ascii="Times New Roman" w:eastAsia="方正仿宋_GBK" w:cs="Times New Roman" w:hAnsi="Times New Roman"/>
                <w:b/>
                <w:bCs/>
                <w:sz w:val="24"/>
                <w:szCs w:val="24"/>
                <w:lang w:val="en-US" w:eastAsia="zh-CN"/>
              </w:rPr>
              <w:t>活动物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0106.90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如果动物在中国或秘鲁境内出生并饲养</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可赋予原产地。</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第二章 肉及食用杂碎</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9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0207.60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0210.99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第三章 鱼、甲壳动物、软体动物及其他水生无脊椎动物</w:t>
            </w:r>
          </w:p>
        </w:tc>
      </w:tr>
      <w:tr>
        <w:trPr>
          <w:trHeight w:val="1814"/>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章注</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鱼、甲壳动物、软体动物及其他水生无脊椎动物即使是由非原产的鱼苗或幼体养殖获得</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也应视为中国或者秘鲁原产货物</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鱼苗是指处于幼鱼期的未成熟的鱼</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包括幼鱼、幼鲑、小鲑鱼和幼鳗</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只要它们的重量不超过50克</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且饲养周期不少于12个月</w:t>
            </w:r>
            <w:r>
              <w:rPr>
                <w:rFonts w:ascii="Times New Roman" w:eastAsia="方正仿宋_GBK" w:cs="Times New Roman" w:hAnsi="Times New Roman"/>
                <w:sz w:val="24"/>
                <w:szCs w:val="24"/>
                <w:lang w:val="en-US" w:eastAsia="zh-CN"/>
              </w:rPr>
              <w:t>；</w:t>
            </w:r>
            <w:r>
              <w:rPr>
                <w:rFonts w:ascii="Times New Roman" w:eastAsia="方正仿宋_GBK" w:cs="Times New Roman" w:hAnsi="Times New Roman"/>
                <w:sz w:val="24"/>
                <w:szCs w:val="24"/>
                <w:lang w:val="en-US" w:eastAsia="es-ES"/>
              </w:rPr>
              <w:t>对于</w:t>
            </w:r>
            <w:r>
              <w:rPr>
                <w:rFonts w:ascii="Times New Roman" w:eastAsia="方正仿宋_GBK" w:cs="Times New Roman" w:hAnsi="Times New Roman"/>
                <w:sz w:val="24"/>
                <w:szCs w:val="24"/>
                <w:lang w:val="en-US" w:eastAsia="zh-CN"/>
              </w:rPr>
              <w:t>鳟鱼、</w:t>
            </w:r>
            <w:r>
              <w:rPr>
                <w:rFonts w:ascii="Times New Roman" w:eastAsia="方正仿宋_GBK" w:cs="Times New Roman" w:hAnsi="Times New Roman"/>
                <w:sz w:val="24"/>
                <w:szCs w:val="24"/>
                <w:lang w:val="en-US" w:eastAsia="es-ES"/>
              </w:rPr>
              <w:t>金枪鱼</w:t>
            </w:r>
            <w:r>
              <w:rPr>
                <w:rFonts w:ascii="Times New Roman" w:eastAsia="方正仿宋_GBK" w:cs="Times New Roman" w:hAnsi="Times New Roman"/>
                <w:sz w:val="24"/>
                <w:szCs w:val="24"/>
                <w:lang w:val="en-US" w:eastAsia="zh-CN"/>
              </w:rPr>
              <w:t>和</w:t>
            </w:r>
            <w:r>
              <w:rPr>
                <w:rFonts w:ascii="Times New Roman" w:eastAsia="方正仿宋_GBK" w:cs="Times New Roman" w:hAnsi="Times New Roman"/>
                <w:sz w:val="24"/>
                <w:szCs w:val="24"/>
                <w:lang w:val="en-US" w:eastAsia="es-ES"/>
              </w:rPr>
              <w:t>庸鲽鱼</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只要它们的重量不超过150克</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且饲养周期不少于12个月</w:t>
            </w:r>
            <w:r>
              <w:rPr>
                <w:rFonts w:ascii="Times New Roman" w:eastAsia="方正仿宋_GBK" w:cs="Times New Roman" w:hAnsi="Times New Roman"/>
                <w:sz w:val="24"/>
                <w:szCs w:val="24"/>
                <w:lang w:val="en-US" w:eastAsia="zh-CN"/>
              </w:rPr>
              <w:t>；</w:t>
            </w:r>
            <w:r>
              <w:rPr>
                <w:rFonts w:ascii="Times New Roman" w:eastAsia="方正仿宋_GBK" w:cs="Times New Roman" w:hAnsi="Times New Roman"/>
                <w:sz w:val="24"/>
                <w:szCs w:val="24"/>
                <w:lang w:val="en-US" w:eastAsia="es-ES"/>
              </w:rPr>
              <w:t>对于小虾和对虾</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只要它们的饲养周期不少于6个月</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对于蟹</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只要它们的饲养周期不少于12个月。</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0302.73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0302.74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0303.25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0303.68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0303.69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0304.33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0305.64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0305.79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0306.12</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0306.14</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0306.15</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0306.16</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0306.17</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0306.19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val="en-US" w:eastAsia="es-ES"/>
              </w:rPr>
              <w:t>0306.33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val="en-US" w:eastAsia="es-ES"/>
              </w:rPr>
              <w:t>0306.34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val="en-US" w:eastAsia="es-ES"/>
              </w:rPr>
              <w:t>0306.35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val="en-US" w:eastAsia="es-ES"/>
              </w:rPr>
              <w:t>0306.36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eastAsia="es-ES"/>
              </w:rPr>
              <w:t>0306.99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0307.11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0307.19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0307.21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0307.29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0307.31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0307.39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0307.49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0307.51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0307.59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0307.60</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0307.71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0307.79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0307.81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0307.84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0307.87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0307.88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0307.91</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0307.99</w:t>
            </w:r>
          </w:p>
        </w:tc>
        <w:tc>
          <w:tcPr>
            <w:tcW w:w="6539" w:type="dxa"/>
            <w:tcBorders>
              <w:top w:val="nil"/>
              <w:left w:val="nil"/>
              <w:bottom w:val="single" w:sz="4" w:space="0" w:color="auto"/>
              <w:right w:val="single" w:sz="4" w:space="0" w:color="auto"/>
            </w:tcBorders>
            <w:shd w:val="clear" w:color="auto" w:fill="auto"/>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0309.90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第四章 乳品</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蛋品</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天然蜂蜜</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其他食用动物产品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0410.90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49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第五章 其他动物产品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由01章改变至此除外。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0511.99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sz w:val="24"/>
                <w:szCs w:val="24"/>
                <w:lang w:val="en-US" w:eastAsia="es-PE"/>
              </w:rPr>
            </w:pPr>
          </w:p>
          <w:p>
            <w:pPr>
              <w:shd w:val="clear" w:color="auto" w:fill="auto"/>
              <w:spacing w:after="0" w:line="240" w:lineRule="auto"/>
              <w:jc w:val="left"/>
              <w:rPr>
                <w:rFonts w:ascii="Times New Roman" w:eastAsia="方正仿宋_GBK" w:cs="Times New Roman" w:hAnsi="Times New Roman"/>
                <w:b/>
                <w:bCs/>
                <w:sz w:val="24"/>
                <w:szCs w:val="24"/>
                <w:lang w:val="en-US" w:eastAsia="es-PE"/>
              </w:rPr>
            </w:pPr>
            <w:r>
              <w:rPr>
                <w:rFonts w:ascii="Times New Roman" w:eastAsia="方正仿宋_GBK" w:cs="Times New Roman" w:hAnsi="Times New Roman"/>
                <w:b/>
                <w:bCs/>
                <w:sz w:val="24"/>
                <w:szCs w:val="24"/>
                <w:lang w:eastAsia="zh-CN"/>
              </w:rPr>
              <w:t>第二类</w:t>
            </w:r>
            <w:r>
              <w:rPr>
                <w:rFonts w:ascii="Times New Roman" w:eastAsia="方正仿宋_GBK" w:cs="Times New Roman" w:hAnsi="Times New Roman"/>
                <w:b/>
                <w:bCs/>
                <w:sz w:val="24"/>
                <w:szCs w:val="24"/>
                <w:lang w:val="en-US" w:eastAsia="zh-CN"/>
              </w:rPr>
              <w:t xml:space="preserve">  植物产品</w:t>
            </w:r>
          </w:p>
          <w:p>
            <w:pPr>
              <w:spacing w:after="0" w:line="240" w:lineRule="auto"/>
              <w:jc w:val="left"/>
              <w:rPr>
                <w:rFonts w:ascii="Times New Roman" w:eastAsia="方正仿宋_GBK" w:cs="Times New Roman" w:hAnsi="Times New Roman"/>
                <w:b w:val="0"/>
                <w:bCs w:val="0"/>
                <w:sz w:val="24"/>
                <w:szCs w:val="24"/>
                <w:lang w:val="en-US" w:eastAsia="es-ES"/>
              </w:rPr>
            </w:pPr>
          </w:p>
        </w:tc>
      </w:tr>
      <w:tr>
        <w:trPr>
          <w:trHeight w:val="62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第六章 活树及其他活植物</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鳞茎、根及类似品</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插花及装饰用簇叶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0604.90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第七章 食用蔬菜、根及块茎</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bidi="ar-SA"/>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0714.90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41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第八章 食用水果及坚果</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柑桔属水果或甜瓜的果皮</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0814.00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第九章 咖啡、茶、马黛茶及调味香料</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0907.20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0909.62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0910.99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第十章 谷物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1008.60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1008.90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本子目下的货物应在中国或秘鲁境内收获、采摘或收集</w:t>
            </w:r>
            <w:r>
              <w:rPr>
                <w:rFonts w:ascii="Times New Roman" w:eastAsia="方正仿宋_GBK" w:cs="Times New Roman" w:hAnsi="Times New Roman"/>
                <w:sz w:val="24"/>
                <w:szCs w:val="24"/>
                <w:lang w:val="en-US" w:eastAsia="zh-CN"/>
              </w:rPr>
              <w:t>。</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第十一章 制粉工业产品</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麦芽</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淀粉</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菊粉</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面筋</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1102.90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黑麦面粉: 从任何其他章改变至此。</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其他谷物细粉: 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zh-CN"/>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w:t>
            </w:r>
            <w:r>
              <w:rPr>
                <w:rFonts w:ascii="Times New Roman" w:eastAsia="方正仿宋_GBK" w:cs="Times New Roman" w:hAnsi="Times New Roman"/>
                <w:sz w:val="24"/>
                <w:szCs w:val="24"/>
                <w:lang w:val="en-US" w:eastAsia="zh-CN"/>
              </w:rPr>
              <w:t>8</w:t>
            </w:r>
            <w:r>
              <w:rPr>
                <w:rFonts w:ascii="Times New Roman" w:eastAsia="方正仿宋_GBK" w:cs="Times New Roman" w:hAnsi="Times New Roman"/>
                <w:sz w:val="24"/>
                <w:szCs w:val="24"/>
                <w:lang w:val="en-US" w:eastAsia="es-ES"/>
              </w:rPr>
              <w:t>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由第10章改变至此除外。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1109.00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第十二章 含油子仁及果实</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杂项子仁及果实</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工业用或药用植物</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稻草、秸秆及饲料</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1214.90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5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第十三章 虫胶</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树胶、树脂及其他植物液、汁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1302.39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或不要求税则归类改变</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只要其区域价值成分不少于50%。</w:t>
            </w:r>
          </w:p>
        </w:tc>
      </w:tr>
      <w:tr>
        <w:trPr>
          <w:trHeight w:val="52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第十四章 编结用植物材料</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其他植物产品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8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tbl>
            <w:tblPr>
              <w:jc w:val="center"/>
              <w:tblW w:w="9060" w:type="dxa"/>
              <w:tblBorders>
                <w:top w:val="none" w:sz="0" w:space="0" w:color="auto"/>
                <w:left w:val="none" w:sz="0" w:space="0" w:color="auto"/>
                <w:bottom w:val="none" w:sz="0" w:space="0" w:color="auto"/>
                <w:right w:val="none" w:sz="0" w:space="0" w:color="auto"/>
              </w:tblBorders>
              <w:shd w:val="clear" w:color="auto" w:fill="FFFFFF"/>
              <w:tblCellMar>
                <w:top w:w="0" w:type="dxa"/>
                <w:left w:w="0" w:type="dxa"/>
                <w:bottom w:w="0" w:type="dxa"/>
                <w:right w:w="0" w:type="dxa"/>
              </w:tblCellMar>
            </w:tblPr>
            <w:tblGrid>
              <w:gridCol w:w="9060"/>
            </w:tblGrid>
            <w:tr>
              <w:trPr>
                <w:trHeight w:val="902"/>
              </w:trPr>
              <w:tc>
                <w:tcPr>
                  <w:tcW w:w="9060" w:type="dxa"/>
                  <w:shd w:val="clear" w:color="auto" w:fill="FFFFFF"/>
                  <w:vAlign w:val="center"/>
                </w:tcPr>
                <w:p>
                  <w:pPr>
                    <w:spacing w:after="0" w:line="240" w:lineRule="auto"/>
                    <w:jc w:val="left"/>
                    <w:rPr>
                      <w:rFonts w:ascii="Times New Roman" w:eastAsia="方正仿宋_GBK" w:cs="Times New Roman" w:hAnsi="Times New Roman"/>
                      <w:sz w:val="24"/>
                      <w:szCs w:val="24"/>
                      <w:lang w:val="en-US" w:eastAsia="es-PE"/>
                    </w:rPr>
                  </w:pPr>
                  <w:r>
                    <w:rPr>
                      <w:rFonts w:ascii="Times New Roman" w:eastAsia="方正仿宋_GBK" w:cs="Times New Roman" w:hAnsi="Times New Roman"/>
                      <w:b/>
                      <w:bCs/>
                      <w:sz w:val="24"/>
                      <w:szCs w:val="24"/>
                      <w:lang w:val="en-US" w:eastAsia="zh-CN"/>
                    </w:rPr>
                    <w:t>第三类 动、植物或微生物油、脂及其分解产品；精制的食用油脂；动、植物蜡</w:t>
                  </w:r>
                </w:p>
              </w:tc>
            </w:tr>
          </w:tbl>
          <w:p>
            <w:pPr>
              <w:spacing w:after="0" w:line="240" w:lineRule="auto"/>
              <w:jc w:val="left"/>
              <w:rPr>
                <w:rFonts w:ascii="Times New Roman" w:eastAsia="方正仿宋_GBK" w:cs="Times New Roman" w:hAnsi="Times New Roman"/>
                <w:b w:val="0"/>
                <w:bCs w:val="0"/>
                <w:sz w:val="24"/>
                <w:szCs w:val="24"/>
                <w:lang w:val="en-US" w:eastAsia="es-ES"/>
              </w:rPr>
            </w:pPr>
          </w:p>
        </w:tc>
      </w:tr>
      <w:tr>
        <w:trPr>
          <w:trHeight w:val="679"/>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第十五章 动、植物</w:t>
            </w:r>
            <w:r>
              <w:rPr>
                <w:rFonts w:ascii="Times New Roman" w:eastAsia="方正仿宋_GBK" w:cs="Times New Roman" w:hAnsi="Times New Roman"/>
                <w:b/>
                <w:bCs/>
                <w:sz w:val="24"/>
                <w:szCs w:val="24"/>
                <w:lang w:val="en-US" w:eastAsia="zh-CN"/>
              </w:rPr>
              <w:t>或微生物</w:t>
            </w:r>
            <w:r>
              <w:rPr>
                <w:rFonts w:ascii="Times New Roman" w:eastAsia="方正仿宋_GBK" w:cs="Times New Roman" w:hAnsi="Times New Roman"/>
                <w:b/>
                <w:bCs/>
                <w:sz w:val="24"/>
                <w:szCs w:val="24"/>
                <w:lang w:val="en-US" w:eastAsia="es-ES"/>
              </w:rPr>
              <w:t>油、脂及其分解产品</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精制的食用油脂</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动、植物蜡</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1501.20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1501.90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1502.90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由品目15.01改变至此除外。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1518.00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1522.00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8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sz w:val="24"/>
                <w:szCs w:val="24"/>
                <w:lang w:val="en-US" w:eastAsia="es-PE"/>
              </w:rPr>
            </w:pPr>
            <w:r>
              <w:rPr>
                <w:rFonts w:ascii="Times New Roman" w:eastAsia="方正仿宋_GBK" w:cs="Times New Roman" w:hAnsi="Times New Roman"/>
                <w:sz w:val="24"/>
                <w:szCs w:val="24"/>
                <w:lang w:val="en-US"/>
              </w:rPr>
              <w:br w:type="page"/>
            </w:r>
          </w:p>
          <w:p>
            <w:pPr>
              <w:shd w:val="clear" w:color="auto" w:fill="auto"/>
              <w:spacing w:after="0" w:line="240" w:lineRule="auto"/>
              <w:jc w:val="left"/>
              <w:rPr>
                <w:rFonts w:ascii="Times New Roman" w:eastAsia="方正仿宋_GBK" w:cs="Times New Roman" w:hAnsi="Times New Roman"/>
                <w:b/>
                <w:bCs/>
                <w:sz w:val="24"/>
                <w:szCs w:val="24"/>
                <w:lang w:val="en-US" w:eastAsia="es-PE"/>
              </w:rPr>
            </w:pPr>
            <w:r>
              <w:rPr>
                <w:rFonts w:ascii="Times New Roman" w:eastAsia="方正仿宋_GBK" w:cs="Times New Roman" w:hAnsi="Times New Roman"/>
                <w:b/>
                <w:bCs/>
                <w:sz w:val="24"/>
                <w:szCs w:val="24"/>
                <w:lang w:val="en-US" w:eastAsia="zh-CN"/>
              </w:rPr>
              <w:t>第四类 食品；饮料、酒及醋；烟草、烟草及烟草代用品的制品；非经燃烧吸用的产品，不论是否含有尼古丁；其他供人体摄入尼古丁的含尼古丁的产品</w:t>
            </w:r>
          </w:p>
          <w:p>
            <w:pPr>
              <w:spacing w:after="0" w:line="240" w:lineRule="auto"/>
              <w:rPr>
                <w:rFonts w:ascii="Times New Roman" w:eastAsia="方正仿宋_GBK" w:cs="Times New Roman" w:hAnsi="Times New Roman"/>
                <w:b w:val="0"/>
                <w:bCs w:val="0"/>
                <w:sz w:val="24"/>
                <w:szCs w:val="24"/>
                <w:lang w:val="en-US" w:eastAsia="es-ES"/>
              </w:rPr>
            </w:pPr>
          </w:p>
        </w:tc>
      </w:tr>
      <w:tr>
        <w:trPr>
          <w:trHeight w:val="58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第十六章 肉、鱼、甲壳动物</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软体动物及其他水生无脊椎动物</w:t>
            </w:r>
            <w:r>
              <w:rPr>
                <w:rFonts w:ascii="Times New Roman" w:eastAsia="方正仿宋_GBK" w:cs="Times New Roman" w:hAnsi="Times New Roman"/>
                <w:b/>
                <w:bCs/>
                <w:sz w:val="24"/>
                <w:szCs w:val="24"/>
                <w:lang w:val="en-US" w:eastAsia="zh-CN"/>
              </w:rPr>
              <w:t>、以及昆虫</w:t>
            </w:r>
            <w:r>
              <w:rPr>
                <w:rFonts w:ascii="Times New Roman" w:eastAsia="方正仿宋_GBK" w:cs="Times New Roman" w:hAnsi="Times New Roman"/>
                <w:b/>
                <w:bCs/>
                <w:sz w:val="24"/>
                <w:szCs w:val="24"/>
                <w:lang w:val="en-US" w:eastAsia="es-ES"/>
              </w:rPr>
              <w:t>的制品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1605.69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第十七章 糖及糖食</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es-ES"/>
              </w:rPr>
              <w:t>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1704.90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第十八章 可可及可可制品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1806.10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r>
              <w:rPr>
                <w:rFonts w:ascii="Times New Roman" w:eastAsia="方正仿宋_GBK" w:cs="Times New Roman" w:hAnsi="Times New Roman" w:hint="eastAsia"/>
                <w:sz w:val="24"/>
                <w:szCs w:val="24"/>
                <w:lang w:val="en-US" w:eastAsia="zh-CN"/>
              </w:rPr>
              <w:t>，</w:t>
            </w:r>
            <w:r>
              <w:rPr>
                <w:rFonts w:ascii="Times New Roman" w:eastAsia="方正仿宋_GBK" w:cs="Times New Roman" w:hAnsi="Times New Roman"/>
                <w:sz w:val="24"/>
                <w:szCs w:val="24"/>
                <w:lang w:val="en-US" w:eastAsia="zh-CN"/>
              </w:rPr>
              <w:t>由品目18.05改变至此除外。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1806.90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第十九章 谷物、粮食粉、淀粉或乳的制品；糕饼点心</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1905.90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第二十章 蔬菜、水果、坚果或植物其他部分的制品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499"/>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2001.10</w:t>
            </w:r>
          </w:p>
        </w:tc>
        <w:tc>
          <w:tcPr>
            <w:tcW w:w="6539" w:type="dxa"/>
            <w:tcBorders>
              <w:top w:val="nil"/>
              <w:left w:val="nil"/>
              <w:bottom w:val="single" w:sz="4" w:space="0" w:color="auto"/>
              <w:right w:val="single" w:sz="4" w:space="0" w:color="auto"/>
            </w:tcBorders>
            <w:shd w:val="clear" w:color="000000" w:fill="FFFFFF"/>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w:t>
            </w:r>
          </w:p>
        </w:tc>
      </w:tr>
      <w:tr>
        <w:trPr>
          <w:trHeight w:val="29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2004.90</w:t>
            </w:r>
          </w:p>
        </w:tc>
        <w:tc>
          <w:tcPr>
            <w:tcW w:w="6539" w:type="dxa"/>
            <w:tcBorders>
              <w:top w:val="nil"/>
              <w:left w:val="nil"/>
              <w:bottom w:val="single" w:sz="4" w:space="0" w:color="auto"/>
              <w:right w:val="single" w:sz="4" w:space="0" w:color="auto"/>
            </w:tcBorders>
            <w:shd w:val="clear" w:color="000000" w:fill="FFFFFF"/>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从任何其他章改变至此，由第7章改变至此除外。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2006.00</w:t>
            </w:r>
          </w:p>
        </w:tc>
        <w:tc>
          <w:tcPr>
            <w:tcW w:w="6539" w:type="dxa"/>
            <w:tcBorders>
              <w:top w:val="nil"/>
              <w:left w:val="nil"/>
              <w:bottom w:val="single" w:sz="4" w:space="0" w:color="auto"/>
              <w:right w:val="single" w:sz="4" w:space="0" w:color="auto"/>
            </w:tcBorders>
            <w:shd w:val="clear" w:color="000000" w:fill="FFFFFF"/>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2007.10</w:t>
            </w:r>
          </w:p>
        </w:tc>
        <w:tc>
          <w:tcPr>
            <w:tcW w:w="6539" w:type="dxa"/>
            <w:tcBorders>
              <w:top w:val="nil"/>
              <w:left w:val="nil"/>
              <w:bottom w:val="single" w:sz="4" w:space="0" w:color="auto"/>
              <w:right w:val="single" w:sz="4" w:space="0" w:color="auto"/>
            </w:tcBorders>
            <w:shd w:val="clear" w:color="000000" w:fill="FFFFFF"/>
          </w:tcPr>
          <w:p>
            <w:pPr>
              <w:keepNext w:val="0"/>
              <w:keepLines w:val="0"/>
              <w:widowControl/>
              <w:suppressLineNumbers w:val="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从任何其他章改变至此，由第7章或第8章改变至此除外。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从任何其他章改变至此，由第7章或第8章改变至此除外。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2008.19</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2008.80</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从任何其他章改变至此，由第12章改变至此除外。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从任何其他章改变至此，由第7章或第8章改变至此除外。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从任何其他章改变至此，由第8章改变至此除外。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从任何其他章改变至此，由品目08.05改变至此除外。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从任何其他章改变至此，由品目08.05改变至此除外。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从任何其他章改变至此，由品目08.05改变至此除外。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从任何其他章改变至此，由品目08.05改变至此除外。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2009.41</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2009.49</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2009.61</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2009.69</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从任何其他章改变至此，由第8章改变至此除外。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2009.90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从任何其他章改变至此，由第8章改变至此除外。 </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第二十一章 杂项食品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从任何其他章改变至此，由第9章改变至此除外</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从任何其他章改变至此，由第9章改变至此除外</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2102.10</w:t>
            </w:r>
          </w:p>
        </w:tc>
        <w:tc>
          <w:tcPr>
            <w:tcW w:w="6539" w:type="dxa"/>
            <w:tcBorders>
              <w:top w:val="nil"/>
              <w:left w:val="nil"/>
              <w:bottom w:val="single" w:sz="4" w:space="0" w:color="auto"/>
              <w:right w:val="single" w:sz="4" w:space="0" w:color="auto"/>
            </w:tcBorders>
            <w:shd w:val="clear" w:color="000000" w:fill="FFFFFF"/>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2102.20</w:t>
            </w:r>
          </w:p>
        </w:tc>
        <w:tc>
          <w:tcPr>
            <w:tcW w:w="6539" w:type="dxa"/>
            <w:tcBorders>
              <w:top w:val="nil"/>
              <w:left w:val="nil"/>
              <w:bottom w:val="single" w:sz="4" w:space="0" w:color="auto"/>
              <w:right w:val="single" w:sz="4" w:space="0" w:color="auto"/>
            </w:tcBorders>
            <w:shd w:val="clear" w:color="000000" w:fill="FFFFFF"/>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2102.30</w:t>
            </w:r>
          </w:p>
        </w:tc>
        <w:tc>
          <w:tcPr>
            <w:tcW w:w="6539" w:type="dxa"/>
            <w:tcBorders>
              <w:top w:val="nil"/>
              <w:left w:val="nil"/>
              <w:bottom w:val="single" w:sz="4" w:space="0" w:color="auto"/>
              <w:right w:val="single" w:sz="4" w:space="0" w:color="auto"/>
            </w:tcBorders>
            <w:shd w:val="clear" w:color="000000" w:fill="FFFFFF"/>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2106.90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第二十二章 饮料、酒及醋</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2209.00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第二十三章 食品工业残渣及废料；配制的动物饲料</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2309.90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8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 xml:space="preserve">第二十四章 </w:t>
            </w:r>
            <w:r>
              <w:rPr>
                <w:rFonts w:ascii="Times New Roman" w:eastAsia="方正仿宋_GBK" w:cs="Times New Roman" w:hAnsi="Times New Roman"/>
                <w:b/>
                <w:bCs/>
                <w:sz w:val="24"/>
                <w:szCs w:val="24"/>
                <w:lang w:val="en-US" w:eastAsia="zh-CN"/>
              </w:rPr>
              <w:t xml:space="preserve"> 烟草、烟草及烟草代用品的制品；非经燃烧吸用的产品，不论是否含有尼古丁；其他供人体摄入尼古丁的含尼古丁的产品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411"/>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2404.99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679"/>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val="0"/>
                <w:sz w:val="24"/>
                <w:szCs w:val="24"/>
                <w:lang w:val="en-US" w:eastAsia="zh-CN"/>
              </w:rPr>
            </w:pPr>
            <w:r>
              <w:rPr>
                <w:rFonts w:ascii="Times New Roman" w:eastAsia="方正仿宋_GBK" w:cs="Times New Roman" w:hAnsi="Times New Roman"/>
                <w:b/>
                <w:bCs/>
                <w:sz w:val="24"/>
                <w:szCs w:val="24"/>
                <w:lang w:eastAsia="zh-CN"/>
              </w:rPr>
              <w:t>第五类</w:t>
            </w:r>
            <w:r>
              <w:rPr>
                <w:rFonts w:ascii="Times New Roman" w:eastAsia="方正仿宋_GBK" w:cs="Times New Roman" w:hAnsi="Times New Roman"/>
                <w:b/>
                <w:bCs/>
                <w:sz w:val="24"/>
                <w:szCs w:val="24"/>
                <w:lang w:val="en-US" w:eastAsia="zh-CN"/>
              </w:rPr>
              <w:t xml:space="preserve"> 矿产品</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第二十五章 盐；硫磺；泥土及石料；石膏料、石灰及水泥</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2517.49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105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2529.30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2530.20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2530.90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第二十六章 矿砂、矿渣及矿灰</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146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41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2619.00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5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2621.90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573"/>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第二十七章 矿物燃料、矿物油及其蒸馏产品；沥青物质；矿物蜡</w:t>
            </w:r>
          </w:p>
        </w:tc>
      </w:tr>
      <w:tr>
        <w:trPr>
          <w:trHeight w:val="5320"/>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章注：</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一、在中国或秘鲁境内经过化学反应得到的品目27.07至27.10项下货物，应视为中国或秘鲁原产货物。</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二、对于品目 27.07 和 27.10 ，“化学反应”是指通过分子键断裂并形成新的分子键，或者通过改变原子的空间排列而形成新结构分子的过程（包括生化过程）。根据上述定义，下列过程不视为化学反应：</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（一）溶解于水或其他溶剂；</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（二）去除溶剂，包括作为溶剂的水；或</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（三）添加或去除结晶水。</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三、对于品目 2710 ，下列加工赋予原产地：</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（一）常压蒸馏—在蒸馏塔中，将石油转化为沸点不同的成分，再将蒸汽浓缩成不同的液化馏分的分离过程。石油蒸馏的产物包括液化石油</w:t>
            </w:r>
            <w:r>
              <w:rPr>
                <w:rFonts w:ascii="Times New Roman" w:eastAsia="方正仿宋_GBK" w:cs="Times New Roman" w:hAnsi="Times New Roman"/>
                <w:sz w:val="24"/>
                <w:szCs w:val="24"/>
                <w:lang w:val="en-US" w:eastAsia="zh-CN"/>
              </w:rPr>
              <w:t>气</w:t>
            </w:r>
            <w:r>
              <w:rPr>
                <w:rFonts w:ascii="Times New Roman" w:eastAsia="方正仿宋_GBK" w:cs="Times New Roman" w:hAnsi="Times New Roman"/>
                <w:sz w:val="24"/>
                <w:szCs w:val="24"/>
                <w:lang w:val="en-US" w:eastAsia="es-ES"/>
              </w:rPr>
              <w:t>、石脑油、汽油、煤油、柴油、热油、轻油及润滑油等。</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w:t>
            </w:r>
            <w:r>
              <w:rPr>
                <w:rFonts w:ascii="Times New Roman" w:eastAsia="方正仿宋_GBK" w:cs="Times New Roman" w:hAnsi="Times New Roman" w:hint="eastAsia"/>
                <w:sz w:val="24"/>
                <w:szCs w:val="24"/>
                <w:lang w:val="en-US" w:eastAsia="zh-CN"/>
              </w:rPr>
              <w:t>减压</w:t>
            </w:r>
            <w:r>
              <w:rPr>
                <w:rFonts w:ascii="Times New Roman" w:eastAsia="方正仿宋_GBK" w:cs="Times New Roman" w:hAnsi="Times New Roman"/>
                <w:sz w:val="24"/>
                <w:szCs w:val="24"/>
                <w:lang w:val="en-US" w:eastAsia="es-ES"/>
              </w:rPr>
              <w:t>蒸馏—在低于常压的压力（尚未低至 分子蒸馏的压力）下蒸馏。</w:t>
            </w:r>
            <w:r>
              <w:rPr>
                <w:rFonts w:ascii="Times New Roman" w:eastAsia="方正仿宋_GBK" w:cs="Times New Roman" w:hAnsi="Times New Roman" w:hint="eastAsia"/>
                <w:sz w:val="24"/>
                <w:szCs w:val="24"/>
                <w:lang w:val="en-US" w:eastAsia="zh-CN"/>
              </w:rPr>
              <w:t>减压</w:t>
            </w:r>
            <w:r>
              <w:rPr>
                <w:rFonts w:ascii="Times New Roman" w:eastAsia="方正仿宋_GBK" w:cs="Times New Roman" w:hAnsi="Times New Roman"/>
                <w:sz w:val="24"/>
                <w:szCs w:val="24"/>
                <w:lang w:val="en-US" w:eastAsia="es-ES"/>
              </w:rPr>
              <w:t>蒸馏用于蒸馏石油中的重馏分等高沸点热敏材料，以生产从轻质到重质减压瓦斯油及残渣油。一些炼油厂将减压瓦斯油进一步加工成润滑油。</w:t>
            </w:r>
            <w:r>
              <w:rPr>
                <w:rFonts w:ascii="Times New Roman" w:eastAsia="方正仿宋_GBK" w:cs="Times New Roman" w:hAnsi="Times New Roman" w:hint="eastAsia"/>
                <w:sz w:val="24"/>
                <w:szCs w:val="24"/>
                <w:lang w:val="en-US" w:eastAsia="zh-CN"/>
              </w:rPr>
              <w:t>减压</w:t>
            </w:r>
            <w:r>
              <w:rPr>
                <w:rFonts w:ascii="Times New Roman" w:eastAsia="方正仿宋_GBK" w:cs="Times New Roman" w:hAnsi="Times New Roman"/>
                <w:sz w:val="24"/>
                <w:szCs w:val="24"/>
                <w:lang w:val="en-US" w:eastAsia="es-ES"/>
              </w:rPr>
              <w:t>蒸馏必须在550℃以上进行，且馏出</w:t>
            </w:r>
            <w:r>
              <w:rPr>
                <w:rFonts w:ascii="Times New Roman" w:eastAsia="方正仿宋_GBK" w:cs="Times New Roman" w:hAnsi="Times New Roman"/>
                <w:sz w:val="24"/>
                <w:szCs w:val="24"/>
                <w:lang w:val="en-US" w:eastAsia="zh-CN"/>
              </w:rPr>
              <w:t>量按体积计不得少于</w:t>
            </w:r>
            <w:r>
              <w:rPr>
                <w:rFonts w:ascii="Times New Roman" w:eastAsia="方正仿宋_GBK" w:cs="Times New Roman" w:hAnsi="Times New Roman"/>
                <w:sz w:val="24"/>
                <w:szCs w:val="24"/>
                <w:lang w:val="en-US" w:eastAsia="es-ES"/>
              </w:rPr>
              <w:t>70%。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2716.00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r>
              <w:rPr>
                <w:rFonts w:ascii="Times New Roman" w:eastAsia="方正仿宋_GBK" w:cs="Times New Roman" w:hAnsi="Times New Roman"/>
                <w:sz w:val="24"/>
                <w:szCs w:val="24"/>
                <w:lang w:val="en-US" w:eastAsia="zh-CN"/>
              </w:rPr>
              <w:t>。</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第六类 化学工业及其相关工业的产品</w:t>
            </w:r>
          </w:p>
        </w:tc>
      </w:tr>
      <w:tr>
        <w:trPr>
          <w:trHeight w:val="298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zh-CN"/>
              </w:rPr>
              <w:t>类</w:t>
            </w:r>
            <w:r>
              <w:rPr>
                <w:rFonts w:ascii="Times New Roman" w:eastAsia="方正仿宋_GBK" w:cs="Times New Roman" w:hAnsi="Times New Roman"/>
                <w:b/>
                <w:bCs/>
                <w:sz w:val="24"/>
                <w:szCs w:val="24"/>
                <w:lang w:val="en-US" w:eastAsia="es-ES"/>
              </w:rPr>
              <w:t xml:space="preserve">注： </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bCs/>
                <w:sz w:val="24"/>
                <w:szCs w:val="24"/>
                <w:lang w:val="en-US" w:eastAsia="es-ES"/>
              </w:rPr>
              <w:t xml:space="preserve">      </w:t>
            </w:r>
            <w:r>
              <w:rPr>
                <w:rFonts w:ascii="Times New Roman" w:eastAsia="方正仿宋_GBK" w:cs="Times New Roman" w:hAnsi="Times New Roman"/>
                <w:sz w:val="24"/>
                <w:szCs w:val="24"/>
                <w:lang w:val="en-US" w:eastAsia="es-ES"/>
              </w:rPr>
              <w:t>一、在中国或秘鲁境内经过化学反应得到的第28章至第38章项下货物（品目29.30或38.23除外），应视为原产货物。</w:t>
            </w:r>
          </w:p>
          <w:p>
            <w:pPr>
              <w:spacing w:after="0" w:line="240" w:lineRule="auto"/>
              <w:ind w:firstLineChars="50" w:firstLine="120"/>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二、对于第28章至第38章，</w:t>
            </w:r>
            <w:r>
              <w:rPr>
                <w:rFonts w:ascii="方正仿宋_GBK" w:eastAsia="方正仿宋_GBK" w:cs="方正仿宋_GBK" w:hint="eastAsia"/>
                <w:sz w:val="24"/>
                <w:szCs w:val="24"/>
                <w:lang w:val="en-US" w:eastAsia="es-ES"/>
              </w:rPr>
              <w:t>“化学反应”</w:t>
            </w:r>
            <w:r>
              <w:rPr>
                <w:rFonts w:ascii="Times New Roman" w:eastAsia="方正仿宋_GBK" w:cs="Times New Roman" w:hAnsi="Times New Roman"/>
                <w:sz w:val="24"/>
                <w:szCs w:val="24"/>
                <w:lang w:val="en-US" w:eastAsia="es-ES"/>
              </w:rPr>
              <w:t>是指过分子键断裂并形成新的分子键，或者通过改变分子的空间排列而形成新结构分子的过程（包括生化过程）。下列过程不视为上述定义的化学反应：</w:t>
            </w:r>
          </w:p>
          <w:p>
            <w:pPr>
              <w:spacing w:after="0" w:line="240" w:lineRule="auto"/>
              <w:ind w:firstLineChars="100" w:firstLine="240"/>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（一）溶解于水或其他溶剂；</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（二）去除溶剂，包括作为溶剂的水；或</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（三）添加或去除结晶水。</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第二十八章 无机化学品；贵金属、稀土金属、放射性元素及其同位素的有机及无机化合物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2810.00</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2827.60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2829.90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2839.11</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2839.19</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2839.90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从任何其他子目改变至此，由子目2840.19改变至此除外。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从任何其他子目改变至此，由子目2840.11改变至此除外。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9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从任何其他品目改变至此，由子目2530.90改变至此除外。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从任何其他品目改变至此，由子目2530.90改变至此除外。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2849.90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2853.90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第二十九章 有机化学品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0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5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0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8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81"/>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2904.10</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2904.20</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2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2909.60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2914.79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0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0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8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2917.39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1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2929.90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2930.60</w:t>
            </w:r>
          </w:p>
        </w:tc>
        <w:tc>
          <w:tcPr>
            <w:tcW w:w="6539" w:type="dxa"/>
            <w:tcBorders>
              <w:top w:val="nil"/>
              <w:left w:val="nil"/>
              <w:bottom w:val="single" w:sz="4" w:space="0" w:color="auto"/>
              <w:right w:val="single" w:sz="4" w:space="0" w:color="auto"/>
            </w:tcBorders>
            <w:shd w:val="clear" w:color="000000" w:fill="FFFFFF"/>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2930.70</w:t>
            </w:r>
          </w:p>
        </w:tc>
        <w:tc>
          <w:tcPr>
            <w:tcW w:w="6539" w:type="dxa"/>
            <w:tcBorders>
              <w:top w:val="nil"/>
              <w:left w:val="nil"/>
              <w:bottom w:val="single" w:sz="4" w:space="0" w:color="auto"/>
              <w:right w:val="single" w:sz="4" w:space="0" w:color="auto"/>
            </w:tcBorders>
            <w:shd w:val="clear" w:color="000000" w:fill="FFFFFF"/>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2930.80</w:t>
            </w:r>
          </w:p>
        </w:tc>
        <w:tc>
          <w:tcPr>
            <w:tcW w:w="6539" w:type="dxa"/>
            <w:tcBorders>
              <w:top w:val="nil"/>
              <w:left w:val="nil"/>
              <w:bottom w:val="single" w:sz="4" w:space="0" w:color="auto"/>
              <w:right w:val="single" w:sz="4" w:space="0" w:color="auto"/>
            </w:tcBorders>
            <w:shd w:val="clear" w:color="000000" w:fill="FFFFFF"/>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敌菌丹（ISO）及甲胺磷（ISO）：</w:t>
            </w:r>
            <w:r>
              <w:rPr>
                <w:rFonts w:ascii="Times New Roman" w:eastAsia="方正仿宋_GBK" w:cs="Times New Roman" w:hAnsi="Times New Roman"/>
                <w:sz w:val="24"/>
                <w:szCs w:val="24"/>
                <w:lang w:val="en-US" w:eastAsia="es-ES"/>
              </w:rPr>
              <w:t>从任何其他子目改变至此。</w:t>
            </w:r>
          </w:p>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涕灭威（ISO）：</w:t>
            </w:r>
            <w:r>
              <w:rPr>
                <w:rFonts w:ascii="Times New Roman" w:eastAsia="方正仿宋_GBK" w:cs="Times New Roman" w:hAnsi="Times New Roman"/>
                <w:sz w:val="24"/>
                <w:szCs w:val="24"/>
                <w:lang w:val="en-US" w:eastAsia="es-ES"/>
              </w:rPr>
              <w:t>不要求税则归类改变，只要其区域价值成分不少</w:t>
            </w:r>
            <w:r>
              <w:rPr>
                <w:rFonts w:ascii="Times New Roman" w:eastAsia="方正仿宋_GBK" w:cs="Times New Roman" w:hAnsi="Times New Roman"/>
                <w:sz w:val="24"/>
                <w:szCs w:val="24"/>
                <w:lang w:val="en-US" w:eastAsia="zh-CN"/>
              </w:rPr>
              <w:t>于</w:t>
            </w:r>
            <w:r>
              <w:rPr>
                <w:rFonts w:ascii="Times New Roman" w:eastAsia="方正仿宋_GBK" w:cs="Times New Roman" w:hAnsi="Times New Roman"/>
                <w:sz w:val="24"/>
                <w:szCs w:val="24"/>
                <w:lang w:val="en-US" w:eastAsia="es-ES"/>
              </w:rPr>
              <w:t>50%</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2930.90</w:t>
            </w:r>
          </w:p>
        </w:tc>
        <w:tc>
          <w:tcPr>
            <w:tcW w:w="6539" w:type="dxa"/>
            <w:tcBorders>
              <w:top w:val="nil"/>
              <w:left w:val="nil"/>
              <w:bottom w:val="single" w:sz="4" w:space="0" w:color="auto"/>
              <w:right w:val="single" w:sz="4" w:space="0" w:color="auto"/>
            </w:tcBorders>
            <w:shd w:val="clear" w:color="000000" w:fill="FFFFFF"/>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2935.10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2935.20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2935.30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2935.40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2935.50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2935.90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color w:val="000000"/>
                <w:kern w:val="0"/>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2939.80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2942.00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第三十章 药品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91"/>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3006.93</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hint="eastAsia"/>
                <w:b/>
                <w:bCs/>
                <w:sz w:val="24"/>
                <w:szCs w:val="24"/>
                <w:lang w:eastAsia="zh-CN"/>
              </w:rPr>
              <w:t>第三十一章</w:t>
            </w:r>
            <w:r>
              <w:rPr>
                <w:rFonts w:ascii="Times New Roman" w:eastAsia="方正仿宋_GBK" w:cs="Times New Roman" w:hAnsi="Times New Roman" w:hint="eastAsia"/>
                <w:b/>
                <w:bCs/>
                <w:sz w:val="24"/>
                <w:szCs w:val="24"/>
                <w:lang w:val="en-US" w:eastAsia="zh-CN"/>
              </w:rPr>
              <w:t xml:space="preserve"> 肥料</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3105.90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683"/>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第三十二章 鞣料浸膏及染料浸膏；鞣酸及其衍生物；染料、颜料及其他着色料；油漆及清漆；油灰及其他类似胶粘剂；墨水、油墨</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8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从任何其他品目改变至此，由子目3824.50改变至此除外。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3215.90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1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第三十三章 精油及香膏；芳香料制品及化妆盥洗品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3307.90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w:t>
            </w:r>
            <w:r>
              <w:rPr>
                <w:rFonts w:ascii="Times New Roman" w:eastAsia="方正仿宋_GBK" w:cs="Times New Roman" w:hAnsi="Times New Roman"/>
                <w:sz w:val="24"/>
                <w:szCs w:val="24"/>
                <w:lang w:val="en-US" w:eastAsia="es-ES"/>
              </w:rPr>
              <w:t>目改变至此；或不要求税则归类改变，只要其区域价值成分不少于50%。</w:t>
            </w:r>
          </w:p>
        </w:tc>
      </w:tr>
      <w:tr>
        <w:trPr>
          <w:trHeight w:val="93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第三十四章 肥皂、有机表面活性剂、洗涤剂、润滑剂、人造蜡、光洁剂、蜡烛及类似品、塑型用膏、</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牙科用蜡</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及牙科用熟石膏制剂</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3407.00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第三十五章 蛋白类物质；改性淀粉；胶；酶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3507.90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13"/>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第三十六章 炸药；烟火制品；火柴；引火合金；易燃材料制品</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3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3606.90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 xml:space="preserve">第三十七章 </w:t>
            </w:r>
            <w:r>
              <w:rPr>
                <w:rFonts w:ascii="Times New Roman" w:eastAsia="方正仿宋_GBK" w:cs="Times New Roman" w:hAnsi="Times New Roman"/>
                <w:b/>
                <w:bCs/>
                <w:sz w:val="24"/>
                <w:szCs w:val="24"/>
                <w:lang w:val="en-US" w:eastAsia="zh-CN"/>
              </w:rPr>
              <w:t xml:space="preserve"> </w:t>
            </w:r>
            <w:r>
              <w:rPr>
                <w:rFonts w:ascii="Times New Roman" w:eastAsia="方正仿宋_GBK" w:cs="Times New Roman" w:hAnsi="Times New Roman"/>
                <w:b/>
                <w:bCs/>
                <w:sz w:val="24"/>
                <w:szCs w:val="24"/>
                <w:lang w:val="en-US" w:eastAsia="es-ES"/>
              </w:rPr>
              <w:t>照相及电影用品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3702.98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val="en-US" w:eastAsia="es-ES"/>
              </w:rPr>
              <w:t>3705.00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3707.90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40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第三十八章 杂项化学产品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从任何其他品目改变至此且其区域价值成分不少于50%。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从任何其他品目改变至此且其区域价值成分不少于50%。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3808.92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3809.92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3809.93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3819.00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28"/>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679"/>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63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38.26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311"/>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38.27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9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3827.90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从任何其他品目改变至此；或不要求税则归类改变，只要其区域价值成分不少于</w:t>
            </w:r>
            <w:r>
              <w:rPr>
                <w:rFonts w:ascii="Times New Roman" w:eastAsia="方正仿宋_GBK" w:cs="Times New Roman" w:hAnsi="Times New Roman"/>
                <w:sz w:val="24"/>
                <w:szCs w:val="24"/>
                <w:lang w:val="en-US" w:eastAsia="zh-CN"/>
              </w:rPr>
              <w:t>50</w:t>
            </w:r>
            <w:r>
              <w:rPr>
                <w:rFonts w:ascii="Times New Roman" w:eastAsia="方正仿宋_GBK" w:cs="Times New Roman" w:hAnsi="Times New Roman"/>
                <w:sz w:val="24"/>
                <w:szCs w:val="24"/>
                <w:lang w:val="en-US" w:eastAsia="es-ES"/>
              </w:rPr>
              <w:t>%。</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sz w:val="24"/>
                <w:szCs w:val="24"/>
                <w:lang w:val="en-US" w:eastAsia="es-PE"/>
              </w:rPr>
            </w:pPr>
          </w:p>
          <w:p>
            <w:pPr>
              <w:spacing w:after="0" w:line="360" w:lineRule="auto"/>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第七类 塑料及其制品；橡胶及其制品</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zh-CN"/>
              </w:rPr>
              <w:t>类</w:t>
            </w:r>
            <w:r>
              <w:rPr>
                <w:rFonts w:ascii="Times New Roman" w:eastAsia="方正仿宋_GBK" w:cs="Times New Roman" w:hAnsi="Times New Roman"/>
                <w:b/>
                <w:bCs/>
                <w:sz w:val="24"/>
                <w:szCs w:val="24"/>
                <w:lang w:val="en-US" w:eastAsia="es-ES"/>
              </w:rPr>
              <w:t>注：</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一、在中国或秘鲁境内何经过化学反应得到的第39章至第40章货物，应视为中国或秘鲁原产货物。</w:t>
            </w:r>
          </w:p>
          <w:p>
            <w:pPr>
              <w:spacing w:after="0" w:line="240" w:lineRule="auto"/>
              <w:ind w:firstLineChars="50" w:firstLine="120"/>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二、对于第39章至第40章，</w:t>
            </w:r>
            <w:r>
              <w:rPr>
                <w:rFonts w:ascii="方正仿宋_GBK" w:eastAsia="方正仿宋_GBK" w:cs="方正仿宋_GBK" w:hint="eastAsia"/>
                <w:sz w:val="24"/>
                <w:szCs w:val="24"/>
                <w:lang w:val="en-US" w:eastAsia="es-ES"/>
              </w:rPr>
              <w:t>“化学反应”</w:t>
            </w:r>
            <w:r>
              <w:rPr>
                <w:rFonts w:ascii="Times New Roman" w:eastAsia="方正仿宋_GBK" w:cs="Times New Roman" w:hAnsi="Times New Roman"/>
                <w:sz w:val="24"/>
                <w:szCs w:val="24"/>
                <w:lang w:val="en-US" w:eastAsia="es-ES"/>
              </w:rPr>
              <w:t>是指通过分子键断裂并形成新的分子键，或者通过改变分子的空间排列而形成新结构分子的过程（包括生化过程）。 下列过程不视为上述定义的化学反应：</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（一）溶解于水或其他溶剂；</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（二）去除溶剂，包括作为溶剂的水；或</w:t>
            </w:r>
          </w:p>
          <w:p>
            <w:pPr>
              <w:spacing w:after="0" w:line="240" w:lineRule="auto"/>
              <w:ind w:firstLineChars="50" w:firstLine="120"/>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 xml:space="preserve">      （三）添加或去除结晶水。</w:t>
            </w:r>
          </w:p>
          <w:p>
            <w:pPr>
              <w:spacing w:after="0" w:line="240" w:lineRule="auto"/>
              <w:jc w:val="left"/>
              <w:rPr>
                <w:rFonts w:ascii="Times New Roman" w:eastAsia="方正仿宋_GBK" w:cs="Times New Roman" w:hAnsi="Times New Roman"/>
                <w:b w:val="0"/>
                <w:bCs w:val="0"/>
                <w:sz w:val="24"/>
                <w:szCs w:val="24"/>
                <w:lang w:val="en-US" w:eastAsia="es-ES"/>
              </w:rPr>
            </w:pP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第三十九章 塑料及其制品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9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3909.50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98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3926.90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5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第四十章 橡胶及其制品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GB" w:eastAsia="es-ES"/>
              </w:rPr>
            </w:pPr>
            <w:r>
              <w:rPr>
                <w:rFonts w:ascii="Times New Roman" w:eastAsia="方正仿宋_GBK" w:cs="Times New Roman" w:hAnsi="Times New Roman"/>
                <w:sz w:val="24"/>
                <w:szCs w:val="24"/>
                <w:lang w:val="en-GB" w:eastAsia="es-ES"/>
              </w:rPr>
              <w:t>货物应来自：</w:t>
            </w:r>
          </w:p>
          <w:p>
            <w:pPr>
              <w:spacing w:after="0" w:line="240" w:lineRule="auto"/>
              <w:jc w:val="left"/>
              <w:rPr>
                <w:rFonts w:ascii="Times New Roman" w:eastAsia="方正仿宋_GBK" w:cs="Times New Roman" w:hAnsi="Times New Roman"/>
                <w:sz w:val="24"/>
                <w:szCs w:val="24"/>
                <w:lang w:val="en-GB" w:eastAsia="es-ES"/>
              </w:rPr>
            </w:pPr>
            <w:r>
              <w:rPr>
                <w:rFonts w:ascii="Times New Roman" w:eastAsia="方正仿宋_GBK" w:cs="Times New Roman" w:hAnsi="Times New Roman"/>
                <w:sz w:val="24"/>
                <w:szCs w:val="24"/>
                <w:lang w:val="en-GB" w:eastAsia="es-ES"/>
              </w:rPr>
              <w:t>1. 在中国或秘鲁境内的制造过程，或者</w:t>
            </w:r>
          </w:p>
          <w:p>
            <w:pPr>
              <w:spacing w:after="0" w:line="240" w:lineRule="auto"/>
              <w:jc w:val="left"/>
              <w:rPr>
                <w:rFonts w:ascii="Times New Roman" w:eastAsia="方正仿宋_GBK" w:cs="Times New Roman" w:hAnsi="Times New Roman"/>
                <w:sz w:val="24"/>
                <w:szCs w:val="24"/>
                <w:lang w:val="en-GB" w:eastAsia="es-ES"/>
              </w:rPr>
            </w:pPr>
            <w:r>
              <w:rPr>
                <w:rFonts w:ascii="Times New Roman" w:eastAsia="方正仿宋_GBK" w:cs="Times New Roman" w:hAnsi="Times New Roman"/>
                <w:sz w:val="24"/>
                <w:szCs w:val="24"/>
                <w:lang w:val="en-GB" w:eastAsia="es-ES"/>
              </w:rPr>
              <w:t>2. 在中国或秘鲁境内收集的旧货，</w:t>
            </w:r>
          </w:p>
          <w:p>
            <w:pPr>
              <w:spacing w:after="0" w:line="240" w:lineRule="auto"/>
              <w:jc w:val="left"/>
              <w:rPr>
                <w:rFonts w:ascii="Times New Roman" w:eastAsia="方正仿宋_GBK" w:cs="Times New Roman" w:hAnsi="Times New Roman"/>
                <w:sz w:val="24"/>
                <w:szCs w:val="24"/>
                <w:lang w:val="en-GB" w:eastAsia="es-ES"/>
              </w:rPr>
            </w:pPr>
            <w:r>
              <w:rPr>
                <w:rFonts w:ascii="Times New Roman" w:eastAsia="方正仿宋_GBK" w:cs="Times New Roman" w:hAnsi="Times New Roman"/>
                <w:sz w:val="24"/>
                <w:szCs w:val="24"/>
                <w:lang w:val="en-GB"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4009.42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4017.00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0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第八类 生皮、皮革、毛皮及其制品；鞍具及挽具；旅行用品、手提包及类似容器；动物肠线（蚕胶丝除外）制品</w:t>
            </w:r>
          </w:p>
        </w:tc>
      </w:tr>
      <w:tr>
        <w:trPr>
          <w:trHeight w:val="4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第四十一章 生皮（毛皮除外）及皮革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4115.20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66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第四十二章 皮革制品；鞍具及挽具；旅行用品、手提包及类似容器；动物肠线（蚕胶丝除外）制品</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4206.00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0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第四十三章 毛皮、人造毛皮及其制品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4304.00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1134"/>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tbl>
            <w:tblPr>
              <w:jc w:val="center"/>
              <w:tblW w:w="9060" w:type="dxa"/>
              <w:tblBorders>
                <w:top w:val="none" w:sz="0" w:space="0" w:color="auto"/>
                <w:left w:val="none" w:sz="0" w:space="0" w:color="auto"/>
                <w:bottom w:val="none" w:sz="0" w:space="0" w:color="auto"/>
                <w:right w:val="none" w:sz="0" w:space="0" w:color="auto"/>
              </w:tblBorders>
              <w:shd w:val="clear" w:color="auto" w:fill="FFFFFF"/>
              <w:tblCellMar>
                <w:top w:w="0" w:type="dxa"/>
                <w:left w:w="0" w:type="dxa"/>
                <w:bottom w:w="0" w:type="dxa"/>
                <w:right w:w="0" w:type="dxa"/>
              </w:tblCellMar>
            </w:tblPr>
            <w:tblGrid>
              <w:gridCol w:w="9060"/>
            </w:tblGrid>
            <w:tr>
              <w:trPr>
                <w:trHeight w:val="961"/>
              </w:trPr>
              <w:tc>
                <w:tcPr>
                  <w:tcW w:w="9060" w:type="dxa"/>
                  <w:shd w:val="clear" w:color="auto" w:fill="FFFFFF"/>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b/>
                      <w:bCs/>
                      <w:sz w:val="24"/>
                      <w:szCs w:val="24"/>
                      <w:lang w:val="en-US" w:eastAsia="zh-CN"/>
                    </w:rPr>
                    <w:t>第九类 木及木制品；木炭；软木及软木制品；稻草、秸秆、针茅或其他编结材料制品；篮筐及柳条编结品</w:t>
                  </w:r>
                </w:p>
              </w:tc>
            </w:tr>
          </w:tbl>
          <w:p>
            <w:pPr>
              <w:spacing w:after="0" w:line="240" w:lineRule="auto"/>
              <w:rPr>
                <w:rFonts w:ascii="Times New Roman" w:eastAsia="方正仿宋_GBK" w:cs="Times New Roman" w:hAnsi="Times New Roman"/>
                <w:b w:val="0"/>
                <w:bCs w:val="0"/>
                <w:sz w:val="24"/>
                <w:szCs w:val="24"/>
                <w:lang w:val="en-GB" w:eastAsia="es-ES"/>
              </w:rPr>
            </w:pPr>
          </w:p>
        </w:tc>
      </w:tr>
      <w:tr>
        <w:trPr>
          <w:trHeight w:val="55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第四十四章 木及木制品；木炭</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zh-CN"/>
              </w:rPr>
            </w:pPr>
            <w:r>
              <w:rPr>
                <w:rFonts w:ascii="Times New Roman" w:eastAsia="方正仿宋_GBK" w:cs="Times New Roman" w:hAnsi="Times New Roman"/>
                <w:sz w:val="24"/>
                <w:szCs w:val="24"/>
                <w:lang w:eastAsia="es-ES"/>
              </w:rPr>
              <w:t>4401.41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从任何其他品目改变至此，由品目44.09改变至此除外。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从任何其他品目改变至此，由品目44.09改变至此除外。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从任何其他品目改变至此，由品目 44.07 或品目44.08改变至此除外</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4418.74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4418.75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4421.99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9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第四十五章 软木及软木制品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4504.90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6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第四十六章 稻草、秸杆、针茅或其他编结材料制品；篮筐及柳编条编结品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4602.90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sz w:val="24"/>
                <w:szCs w:val="24"/>
                <w:lang w:val="en-US" w:eastAsia="es-PE"/>
              </w:rPr>
            </w:pPr>
          </w:p>
          <w:p>
            <w:pPr>
              <w:spacing w:after="0" w:line="360" w:lineRule="auto"/>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第十类 木浆及其他纤维状纤维素浆；回收（废碎）纸或纸板；纸、纸板及其制品</w:t>
            </w:r>
          </w:p>
        </w:tc>
      </w:tr>
      <w:tr>
        <w:trPr>
          <w:trHeight w:val="76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第四十七章 木浆及其他纤维状纤维素浆；回收（废碎）纸或纸板</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4707.90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49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第四十八章 纸及纸板；纸浆、纸或纸板制品</w:t>
            </w:r>
          </w:p>
        </w:tc>
      </w:tr>
      <w:tr>
        <w:trPr>
          <w:trHeight w:val="510"/>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章注：就本章而言，剪裁不赋予原产地。</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4802.55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4802.56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4802.57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4802.58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4802.69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4805.93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从任何其他品目改变至此，由品目48.04改变至此除外；或不要求税则归类改变，只要其区域价值成分不少于50%。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从任何其他品目改变至此，由品目48.09改变至此除外；或不要求税则归类改变，只要其区域价值成分不少于50%。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48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从任何其他品目改变至此，由品目48.03改变至此除外；或不要求税则归类改变，只要其区域价值成分不少于50%。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从任何其他品目改变至此，由品目48.03改变至此除外；或不要求税则归类改变，只要其区域价值成分不少于50%。</w:t>
            </w:r>
          </w:p>
        </w:tc>
      </w:tr>
      <w:tr>
        <w:trPr>
          <w:trHeight w:val="55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从任何其他品目改变至此，由品目48.03改变至此除外；或不要求税则归类改变，只要其区域价值成分不少于50%。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4819.60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4823.90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81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第四十九章 书籍、报纸、印刷图画及其他印刷品；手稿、打字稿及设计图纸</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4911.99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 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sz w:val="24"/>
                <w:szCs w:val="24"/>
                <w:lang w:val="en-US" w:eastAsia="es-PE"/>
              </w:rPr>
            </w:pPr>
          </w:p>
          <w:p>
            <w:pPr>
              <w:spacing w:after="0" w:line="360" w:lineRule="auto"/>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第十一类 纺织原料及纺织制品</w:t>
            </w:r>
          </w:p>
        </w:tc>
      </w:tr>
      <w:tr>
        <w:trPr>
          <w:trHeight w:val="46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第五十章 蚕丝</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5004.00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5005.00</w:t>
            </w:r>
          </w:p>
        </w:tc>
        <w:tc>
          <w:tcPr>
            <w:tcW w:w="6539" w:type="dxa"/>
            <w:tcBorders>
              <w:top w:val="nil"/>
              <w:left w:val="nil"/>
              <w:bottom w:val="single" w:sz="4" w:space="0" w:color="auto"/>
              <w:right w:val="single" w:sz="4" w:space="0" w:color="auto"/>
            </w:tcBorders>
            <w:shd w:val="clear" w:color="auto" w:fill="auto"/>
            <w:vAlign w:val="center"/>
          </w:tcPr>
          <w:p>
            <w:pPr>
              <w:keepNext w:val="0"/>
              <w:keepLines w:val="0"/>
              <w:widowControl/>
              <w:suppressLineNumbers w:val="0"/>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从任何其他品目改变至此，由品目50.04 或50.05改变至此除外。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5007.90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7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第五十一章 羊毛、动物细毛或粗毛；马毛纱线及其机织物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5113.00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eastAsia="zh-CN"/>
              </w:rPr>
              <w:t>第五十二章</w:t>
            </w:r>
            <w:r>
              <w:rPr>
                <w:rFonts w:ascii="Times New Roman" w:eastAsia="方正仿宋_GBK" w:cs="Times New Roman" w:hAnsi="Times New Roman"/>
                <w:b/>
                <w:bCs/>
                <w:sz w:val="24"/>
                <w:szCs w:val="24"/>
                <w:lang w:val="en-US" w:eastAsia="zh-CN"/>
              </w:rPr>
              <w:t xml:space="preserve"> 棉花</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2</w:t>
            </w:r>
            <w:r>
              <w:rPr>
                <w:rFonts w:ascii="Times New Roman" w:eastAsia="方正仿宋_GBK" w:cs="Times New Roman" w:hAnsi="Times New Roman"/>
                <w:sz w:val="24"/>
                <w:szCs w:val="24"/>
                <w:lang w:val="en-US" w:eastAsia="es-ES"/>
              </w:rPr>
              <w:t>.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2</w:t>
            </w:r>
            <w:r>
              <w:rPr>
                <w:rFonts w:ascii="Times New Roman" w:eastAsia="方正仿宋_GBK" w:cs="Times New Roman" w:hAnsi="Times New Roman"/>
                <w:sz w:val="24"/>
                <w:szCs w:val="24"/>
                <w:lang w:val="en-US" w:eastAsia="es-ES"/>
              </w:rPr>
              <w:t>.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2</w:t>
            </w:r>
            <w:r>
              <w:rPr>
                <w:rFonts w:ascii="Times New Roman" w:eastAsia="方正仿宋_GBK" w:cs="Times New Roman" w:hAnsi="Times New Roman"/>
                <w:sz w:val="24"/>
                <w:szCs w:val="24"/>
                <w:lang w:val="en-US" w:eastAsia="es-ES"/>
              </w:rPr>
              <w:t>.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5205.28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5205.48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5206.45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5208.59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5209.59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5210.59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5212.25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第五十三章 其他植物纺织纤维</w:t>
            </w:r>
            <w:r>
              <w:rPr>
                <w:rFonts w:ascii="Times New Roman" w:eastAsia="方正仿宋_GBK" w:cs="Times New Roman" w:hAnsi="Times New Roman" w:hint="eastAsia"/>
                <w:b/>
                <w:bCs/>
                <w:sz w:val="24"/>
                <w:szCs w:val="24"/>
                <w:lang w:val="en-US" w:eastAsia="zh-CN"/>
              </w:rPr>
              <w:t>；</w:t>
            </w:r>
            <w:r>
              <w:rPr>
                <w:rFonts w:ascii="Times New Roman" w:eastAsia="方正仿宋_GBK" w:cs="Times New Roman" w:hAnsi="Times New Roman"/>
                <w:b/>
                <w:bCs/>
                <w:sz w:val="24"/>
                <w:szCs w:val="24"/>
                <w:lang w:val="en-US" w:eastAsia="es-ES"/>
              </w:rPr>
              <w:t>纸纱线及其机织物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5311.00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0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第五十四章 化学纤维长丝；化学纤维纺织材料制扁条及类似品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5402.69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5407.74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5407.94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5408.34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4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第五十五章 化学纤维短纤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从任何其他品目改变至此，由品目54.01至54.06改变至此除外。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5516.94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从任何其他品目改变至此，只要其区域价值成分不少于45%。</w:t>
            </w:r>
          </w:p>
        </w:tc>
      </w:tr>
      <w:tr>
        <w:trPr>
          <w:trHeight w:val="65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第五十六章 絮胎、毡呢及无纺织物；特种纱线；线、绳、索、缆及其制品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5603.94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不要求税则归类改变，只要其区域价值成分不少于45%。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5609.00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从任何其他品目改变至此，只要其区域价值成分不少于50%。</w:t>
            </w:r>
          </w:p>
        </w:tc>
      </w:tr>
      <w:tr>
        <w:trPr>
          <w:trHeight w:val="4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第五十七章 地毯及纺织材料的其他铺地制品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5705.00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6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第五十八章 特种机织物；簇绒织物；花边；装饰毯；装饰带；刺绣品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5810.92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5811.00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第五十九章 浸渍、涂布、包覆或层压的纺织物；工业用纺织制品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5911.90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第六十章 针织物及钩编织物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染色物</w:t>
            </w: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其他</w:t>
            </w:r>
            <w:r>
              <w:rPr>
                <w:rFonts w:ascii="Times New Roman" w:eastAsia="方正仿宋_GBK" w:cs="Times New Roman" w:hAnsi="Times New Roman"/>
                <w:sz w:val="24"/>
                <w:szCs w:val="24"/>
                <w:lang w:val="en-US" w:eastAsia="es-ES"/>
              </w:rPr>
              <w:t>: 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6005.38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6006.34</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从任何其他品目改变至此且其区域价值成分不少于50%。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6006.90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41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第六十一章 针织或钩编的服装及衣着附件</w:t>
            </w:r>
          </w:p>
        </w:tc>
      </w:tr>
      <w:tr>
        <w:trPr>
          <w:trHeight w:val="700"/>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章注：本章货物应在缔约一方或双方境内被剪裁或编织成形，或两者方式都采用，且通过缝合或其他方式组装到一起。</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bidi="ar-SA"/>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6117.90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第六十二章 非针织或非钩编的服装及衣着附件</w:t>
            </w:r>
          </w:p>
        </w:tc>
      </w:tr>
      <w:tr>
        <w:trPr>
          <w:trHeight w:val="765"/>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章注：本章货物应在缔约一方或双方境内被剪裁或编织成形，或两者方式都采用，且通过缝合或其他方式组装到一起。</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6204.44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6204.69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6217.90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61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第六十三章 其他纺织制成品；成套物品；旧衣着及旧纺织品；碎织物</w:t>
            </w:r>
          </w:p>
        </w:tc>
      </w:tr>
      <w:tr>
        <w:trPr>
          <w:trHeight w:val="765"/>
        </w:trPr>
        <w:tc>
          <w:tcPr>
            <w:tcW w:w="9205" w:type="dxa"/>
            <w:gridSpan w:val="3"/>
            <w:tcBorders>
              <w:top w:val="nil"/>
              <w:left w:val="single" w:sz="4" w:space="0" w:color="auto"/>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章注：本章货物应在缔约一方或双方境内被剪裁或编织成形，或两者方式都采用，且通过缝合或其他方式组装到一起。</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w:t>
            </w:r>
            <w:r>
              <w:rPr>
                <w:rFonts w:ascii="Times New Roman" w:eastAsia="方正仿宋_GBK" w:cs="Times New Roman" w:hAnsi="Times New Roman"/>
                <w:sz w:val="24"/>
                <w:szCs w:val="24"/>
                <w:lang w:val="en-US" w:eastAsia="es-ES"/>
              </w:rPr>
              <w:t>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6310.90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1133"/>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val="en-US" w:eastAsia="zh-CN"/>
              </w:rPr>
              <w:t>第十二类 鞋、帽、伞、杖、鞭及其零件；已加工的羽毛及其制品；人造花；人发制品</w:t>
            </w:r>
          </w:p>
        </w:tc>
      </w:tr>
      <w:tr>
        <w:trPr>
          <w:trHeight w:val="514"/>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第六十四章 鞋靴、护腿和类似品及其零件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从任何其他品目改变至此，由子目6406.10改变至此除外，只要其区域价值成分不少于40%。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b w:val="0"/>
                <w:bCs w:val="0"/>
                <w:sz w:val="24"/>
                <w:szCs w:val="24"/>
                <w:lang w:val="en-US" w:eastAsia="zh-CN"/>
              </w:rPr>
              <w:t>从任何其他品目改变至此，由子目6406.10改变至此除外，只要其区域价值成分不少于50%。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6406.20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6406.90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0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第六十五章 帽类及其零件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从任何其他品目改变至此，由品目65.07改变至此除外；或不要求税则归类改变，只要其区域价值成分不少于50%。</w:t>
            </w:r>
          </w:p>
        </w:tc>
      </w:tr>
      <w:tr>
        <w:trPr>
          <w:trHeight w:val="102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6504.00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从任何其他品目改变至此，由品目65.01、65.02或65.07改变至此除外；或不要求税则归类改变，只要其区域价值成分不少于50%。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从任何其他品目改变至此，由品目65.01、65.02或65.07改变至此除外；或不要求税则归类改变，只要其区域价值成分不少于50%。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02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6506.10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从任何其他品目改变至此，由品目65.01、65.02或65.07改变至此除外；或不要求税则归类改变，只要其区域价值成分不少于50%。</w:t>
            </w:r>
          </w:p>
        </w:tc>
      </w:tr>
      <w:tr>
        <w:trPr>
          <w:trHeight w:val="102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6506.91</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从任何其他品目改变至此，由品目65.01、65.02或65.07改变至此除外；或不要求税则归类改变，只要其区域价值成分不少于50%。</w:t>
            </w:r>
          </w:p>
        </w:tc>
      </w:tr>
      <w:tr>
        <w:trPr>
          <w:trHeight w:val="102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6506.99</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从任何其他品目改变至此，由品目65.01、65.02或65.07改变至此除外；或不要求税则归类改变，只要其区域价值成分不少于50%。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6507.00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第六十六章 雨伞、阳伞、手杖、鞭子、马鞭及其零件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6603.90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60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第六十七章 已加工羽毛、羽绒及其制品；人造花；人发制品</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val="0"/>
                <w:bCs w:val="0"/>
                <w:sz w:val="24"/>
                <w:szCs w:val="24"/>
                <w:lang w:eastAsia="es-ES"/>
              </w:rPr>
              <w:t>6704.90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85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tbl>
            <w:tblPr>
              <w:jc w:val="center"/>
              <w:tblW w:w="9060" w:type="dxa"/>
              <w:tblBorders>
                <w:top w:val="none" w:sz="0" w:space="0" w:color="auto"/>
                <w:left w:val="none" w:sz="0" w:space="0" w:color="auto"/>
                <w:bottom w:val="none" w:sz="0" w:space="0" w:color="auto"/>
                <w:right w:val="none" w:sz="0" w:space="0" w:color="auto"/>
              </w:tblBorders>
              <w:shd w:val="clear" w:color="auto" w:fill="FFFFFF"/>
              <w:tblCellMar>
                <w:top w:w="0" w:type="dxa"/>
                <w:left w:w="0" w:type="dxa"/>
                <w:bottom w:w="0" w:type="dxa"/>
                <w:right w:w="0" w:type="dxa"/>
              </w:tblCellMar>
            </w:tblPr>
            <w:tblGrid>
              <w:gridCol w:w="9060"/>
            </w:tblGrid>
            <w:tr>
              <w:tc>
                <w:tcPr>
                  <w:tcW w:w="9060" w:type="dxa"/>
                  <w:shd w:val="clear" w:color="auto" w:fill="FFFFFF"/>
                </w:tcPr>
                <w:p>
                  <w:pPr>
                    <w:spacing w:after="0" w:line="240" w:lineRule="auto"/>
                    <w:jc w:val="left"/>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第十三类 石料、石膏、水泥、石棉、云母及类似材料的制品；陶瓷产品；玻璃及其制品</w:t>
                  </w:r>
                </w:p>
              </w:tc>
            </w:tr>
          </w:tbl>
          <w:p>
            <w:pPr>
              <w:spacing w:after="0" w:line="240" w:lineRule="auto"/>
              <w:rPr>
                <w:rFonts w:ascii="Times New Roman" w:eastAsia="方正仿宋_GBK" w:cs="Times New Roman" w:hAnsi="Times New Roman"/>
                <w:b/>
                <w:bCs/>
                <w:sz w:val="24"/>
                <w:szCs w:val="24"/>
                <w:lang w:val="en-US" w:eastAsia="es-ES"/>
              </w:rPr>
            </w:pPr>
          </w:p>
        </w:tc>
      </w:tr>
      <w:tr>
        <w:trPr>
          <w:trHeight w:val="44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第六十八章 石料、石膏、水泥、石棉、云母及类似材料的制品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6810</w:t>
            </w:r>
            <w:r>
              <w:rPr>
                <w:rFonts w:ascii="Times New Roman" w:eastAsia="方正仿宋_GBK" w:cs="Times New Roman" w:hAnsi="Times New Roman"/>
                <w:sz w:val="24"/>
                <w:szCs w:val="24"/>
                <w:lang w:eastAsia="zh-CN"/>
              </w:rPr>
              <w:t>.</w:t>
            </w:r>
            <w:r>
              <w:rPr>
                <w:rFonts w:ascii="Times New Roman" w:eastAsia="方正仿宋_GBK" w:cs="Times New Roman" w:hAnsi="Times New Roman"/>
                <w:sz w:val="24"/>
                <w:szCs w:val="24"/>
                <w:lang w:eastAsia="es-ES"/>
              </w:rPr>
              <w:t>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6811.81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6811.82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6811.89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6813.81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6813.89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6815.99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7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第六十九章 陶瓷产品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6914.90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8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第七十章 玻璃及其制品</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7009.92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7011.10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7011.20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7011.90</w:t>
            </w:r>
          </w:p>
        </w:tc>
        <w:tc>
          <w:tcPr>
            <w:tcW w:w="6539" w:type="dxa"/>
            <w:tcBorders>
              <w:top w:val="nil"/>
              <w:left w:val="nil"/>
              <w:bottom w:val="single" w:sz="4" w:space="0" w:color="auto"/>
              <w:right w:val="single" w:sz="4" w:space="0" w:color="auto"/>
            </w:tcBorders>
            <w:shd w:val="clear" w:color="auto" w:fill="auto"/>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7013.28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7020.00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tbl>
            <w:tblPr>
              <w:jc w:val="center"/>
              <w:tblW w:w="9060" w:type="dxa"/>
              <w:tblBorders>
                <w:top w:val="none" w:sz="0" w:space="0" w:color="auto"/>
                <w:left w:val="none" w:sz="0" w:space="0" w:color="auto"/>
                <w:bottom w:val="none" w:sz="0" w:space="0" w:color="auto"/>
                <w:right w:val="none" w:sz="0" w:space="0" w:color="auto"/>
              </w:tblBorders>
              <w:shd w:val="clear" w:color="auto" w:fill="FFFFFF"/>
              <w:tblCellMar>
                <w:top w:w="0" w:type="dxa"/>
                <w:left w:w="0" w:type="dxa"/>
                <w:bottom w:w="0" w:type="dxa"/>
                <w:right w:w="0" w:type="dxa"/>
              </w:tblCellMar>
            </w:tblPr>
            <w:tblGrid>
              <w:gridCol w:w="9060"/>
            </w:tblGrid>
            <w:tr>
              <w:tc>
                <w:tcPr>
                  <w:tcW w:w="9060" w:type="dxa"/>
                  <w:shd w:val="clear" w:color="auto" w:fill="FFFFFF"/>
                </w:tcPr>
                <w:p>
                  <w:pPr>
                    <w:spacing w:after="0" w:line="240" w:lineRule="auto"/>
                    <w:jc w:val="left"/>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第十四类 天然或养殖珍珠、宝石或半宝石、贵金属、包贵金属及其制品；仿首饰；硬币</w:t>
                  </w:r>
                </w:p>
              </w:tc>
            </w:tr>
          </w:tbl>
          <w:p>
            <w:pPr>
              <w:spacing w:after="0" w:line="240" w:lineRule="auto"/>
              <w:rPr>
                <w:rFonts w:ascii="Times New Roman" w:eastAsia="方正仿宋_GBK" w:cs="Times New Roman" w:hAnsi="Times New Roman"/>
                <w:b/>
                <w:bCs/>
                <w:sz w:val="24"/>
                <w:szCs w:val="24"/>
                <w:lang w:val="en-US" w:eastAsia="es-ES"/>
              </w:rPr>
            </w:pPr>
          </w:p>
        </w:tc>
      </w:tr>
      <w:tr>
        <w:trPr>
          <w:trHeight w:val="70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第七十一章 天然或养殖珍珠、宝石或半宝石、贵金属、包贵金属及其制品；仿首饰；硬币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7118.90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bCs/>
                <w:sz w:val="24"/>
                <w:szCs w:val="24"/>
                <w:lang w:val="en-US" w:eastAsia="es-PE"/>
              </w:rPr>
            </w:pPr>
          </w:p>
          <w:p>
            <w:pPr>
              <w:shd w:val="clear" w:color="auto" w:fill="auto"/>
              <w:spacing w:after="0" w:line="360" w:lineRule="auto"/>
              <w:jc w:val="left"/>
              <w:rPr>
                <w:rFonts w:ascii="Times New Roman" w:eastAsia="方正仿宋_GBK" w:cs="Times New Roman" w:hAnsi="Times New Roman"/>
                <w:b/>
                <w:bCs/>
                <w:sz w:val="24"/>
                <w:szCs w:val="24"/>
                <w:lang w:val="en-US" w:eastAsia="es-PE"/>
              </w:rPr>
            </w:pPr>
            <w:r>
              <w:rPr>
                <w:rFonts w:ascii="Times New Roman" w:eastAsia="方正仿宋_GBK" w:cs="Times New Roman" w:hAnsi="Times New Roman"/>
                <w:b/>
                <w:bCs/>
                <w:sz w:val="24"/>
                <w:szCs w:val="24"/>
                <w:lang w:val="en-US" w:eastAsia="zh-CN"/>
              </w:rPr>
              <w:t>第十五类 贱金属及其制品</w:t>
            </w:r>
            <w:r>
              <w:rPr>
                <w:rFonts w:ascii="Times New Roman" w:eastAsia="方正仿宋_GBK" w:cs="Times New Roman" w:hAnsi="Times New Roman"/>
                <w:b/>
                <w:bCs/>
                <w:sz w:val="24"/>
                <w:szCs w:val="24"/>
                <w:lang w:val="en-US" w:eastAsia="es-PE"/>
              </w:rPr>
              <w:t> </w:t>
            </w:r>
          </w:p>
        </w:tc>
      </w:tr>
      <w:tr>
        <w:trPr>
          <w:trHeight w:val="479"/>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eastAsia="es-ES"/>
              </w:rPr>
            </w:pPr>
            <w:r>
              <w:rPr>
                <w:rFonts w:ascii="Times New Roman" w:eastAsia="方正仿宋_GBK" w:cs="Times New Roman" w:hAnsi="Times New Roman"/>
                <w:b/>
                <w:bCs/>
                <w:sz w:val="24"/>
                <w:szCs w:val="24"/>
                <w:lang w:eastAsia="es-ES"/>
              </w:rPr>
              <w:t>第七十二章 钢 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从任何其他品目改变至此，由品目72.06改变至此除外；或不要求税则归类改变，只要其区域价值成分不少于50%。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从任何其他品目改变至此，由品目72.06改变至此除外；或不要求税则归类改变，只要其区域价值成分不少于50%。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从任何其他品目改变至此，由品目72.06改变至此除外；或不要求税则归类改变，只要其区域价值成分不少于50%。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从任何其他品目改变至此，由品目72.06改变至此除外；或不要求税则归类改变，只要其区域价值成分不少于50%。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7208.36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7208.37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7208.38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7208.54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7209.27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7209.28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从任何其他品目改变至此，由品目72.08或72.09改变至此除外；或不要求税则归类改变，只要其区域价值成分不少于50%。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从任何其他品目改变至此，由品目72.10改变至此除外；或不要求税则归类改变，只要其区域价值成分不少于50%。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从任何其他品目改变至此，由品目72.10改变至此除外；或不要求税则归类改变，只要其区域价值成分不少于50%。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从任何其他品目改变至此，由品目72.10改变至此除外；或不要求税则归类改变，只要其区域价值成分不少于50%。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从任何其他品目改变至此，由品目72.10改变至此除外；或不要求税则归类改变，只要其区域价值成分不少于50%。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从任何其他品目改变至此，由品目72.10改变至此除外；或不要求税则归类改变，只要其区域价值成分不少于50%。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56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4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从任何其他品目改变至此，由品目72.13改变至此除外；或不要求税则归类改变，只要其区域价值成分不少于50%。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从任何其他品目改变至此，由品目72.19改变至此除外；或不要求税则归类改变，只要其区域价值成分不少于50%。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从任何其他品目改变至此，由品目72.22改变至此除外；或不要求税则归类改变，只要其区域价值成分不少于50%。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从任何其他品目改变至此，由品目72.21改变至此除外；或不要求税则归类改变，只要其区域价值成分不少于50%。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从任何其他品目改变至此，由品目72.21改变至此除外；或不要求税则归类改变，只要其区域价值成分不少于50%。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从任何其他品目改变至此，由品目72.21改变至此除外；或不要求税则归类改变，只要其区域价值成分不少于50%。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从任何其他品目改变至此，由品目72.21改变至此除外；或不要求税则归类改变，只要其区域价值成分不少于50%。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从任何其他品目改变至此，由品目72.21改变至此除外；或不要求税则归类改变，只要其区域价值成分不少于50%。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从任何其他品目改变至此，由品目72.25改变至此除外；或不要求税则归类改变，只要其区域价值成分不少于50%。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从任何其他品目改变至此，由品目72.28改变至此除外；或不要求税则归类改变，只要其区域价值成分不少于50%。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从任何其他品目改变至此，由品目72.28改变至此除外；或不要求税则归类改变，只要其区域价值成分不少于50%。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7228.80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从任何其他品目改变至此，由品目72.27改变至此除外；或不要求税则归类改变，只要其区域价值成分不少于50%。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7229.90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4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第七十三章 钢铁制品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7326.90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第七十四章 铜及其制品</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7410.22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7419.80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第七十五章 镍及制品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7508.90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4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第七十六章 铝及其制品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 76.06改变至此除外；或不要求税则归类改变，只要其区域价值成分不少于50%。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 76.06改变至此除外；或不要求税则归类改变，只要其区域价值成分不少于50%。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 76.06改变至此除外；或不要求税则归类改变，只要其区域价值成分不少于50%。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从任何其他品目改变至此，由品目 76.05改变至此除外；或不要求税则归类改变，只要其区域价值成分不少于</w:t>
            </w:r>
            <w:r>
              <w:rPr>
                <w:rFonts w:ascii="Times New Roman" w:eastAsia="方正仿宋_GBK" w:cs="Times New Roman" w:hAnsi="Times New Roman"/>
                <w:sz w:val="24"/>
                <w:szCs w:val="24"/>
                <w:lang w:val="en-US" w:eastAsia="zh-CN"/>
              </w:rPr>
              <w:t>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7616.99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6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第七十八章 铅及其制品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7806.00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9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第七十九章 锌及其制品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448"/>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7907.00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39"/>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第八十章 锡及其制品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8007.00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8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第八十一章 其他贱金属、金属陶瓷及其制品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8102.97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9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49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对于铋及其制品： 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49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对于铋及其制品： 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204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对于锰及其制品： 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对于未锻轧贱金属和粉末：从任何其他品目改变至此；或不要求税则归类改变，只要其区域价值成分不少于50%。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对于未锻轧贱金属和粉末：从任何其他品目改变至此；或不要求税则归类改变，只要其区域价值成分不少于50%。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27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141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208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对于未锻轧贱金属和粉末：从任何其他品目改变至此；或不要求税则归类改变，只要其区域价值成分不少于50%。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208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8113.00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对于金属陶瓷及其制品：从任何其他品目改变至此；或不要求税则归类改变，只要其区域价值成分不少于50%。</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对于废碎料：货物应来自：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70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第八十二章 贱金属工具、器具、利口器、餐匙、餐叉及其零件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品目</w:t>
            </w:r>
            <w:r>
              <w:rPr>
                <w:rFonts w:ascii="Times New Roman" w:eastAsia="方正仿宋_GBK" w:cs="Times New Roman" w:hAnsi="Times New Roman"/>
                <w:sz w:val="24"/>
                <w:szCs w:val="24"/>
                <w:lang w:val="en-US" w:eastAsia="es-ES"/>
              </w:rPr>
              <w:t>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8211.95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8215.99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46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第八十三章 贱金属杂项制品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8301.70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8311.90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zh-CN"/>
              </w:rPr>
            </w:pPr>
          </w:p>
          <w:p>
            <w:pPr>
              <w:spacing w:after="0" w:line="240" w:lineRule="auto"/>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第十六类 机器、机械器具、电气设备及其零件；录音机及放声机、电视图像、声音的录制和重放设备及其零件、附件</w:t>
            </w:r>
          </w:p>
          <w:p>
            <w:pPr>
              <w:spacing w:after="0" w:line="240" w:lineRule="auto"/>
              <w:rPr>
                <w:rFonts w:ascii="Times New Roman" w:eastAsia="方正仿宋_GBK" w:cs="Times New Roman" w:hAnsi="Times New Roman"/>
                <w:b/>
                <w:bCs/>
                <w:sz w:val="24"/>
                <w:szCs w:val="24"/>
                <w:lang w:val="en-US" w:eastAsia="zh-CN"/>
              </w:rPr>
            </w:pPr>
          </w:p>
        </w:tc>
      </w:tr>
      <w:tr>
        <w:trPr>
          <w:trHeight w:val="507"/>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第八十四章 核反应堆、锅炉、机器、机械器具及其零件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8406.81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8406.82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8410.13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8413.92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8419.35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8419.90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40</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8425.49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8429.59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8430.69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8439.99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8443.17</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从任何其他品目改变至此，由品目84.48改变至此除外。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8448.59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8449.00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3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8453.80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8459.70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8466.94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8468.80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8468.90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0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8479.90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8480.79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40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84.85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2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0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283"/>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9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40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8487.90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85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第八十五章 电机、电气设备及其零件；录音机及放声机、电视图像、声音的录制和重放设备及其零件、附件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8501.63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8501.64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8504.34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8509.40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8509.80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8510.30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8517.18</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8517.79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8519.81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8519.89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zh-CN"/>
              </w:rPr>
            </w:pPr>
            <w:r>
              <w:rPr>
                <w:rFonts w:ascii="Times New Roman" w:eastAsia="方正仿宋_GBK" w:cs="Times New Roman" w:hAnsi="Times New Roman"/>
                <w:sz w:val="24"/>
                <w:szCs w:val="24"/>
                <w:lang w:eastAsia="es-ES"/>
              </w:rPr>
              <w:t>85.2</w:t>
            </w:r>
            <w:r>
              <w:rPr>
                <w:rFonts w:ascii="Times New Roman" w:eastAsia="方正仿宋_GBK" w:cs="Times New Roman" w:hAnsi="Times New Roman"/>
                <w:sz w:val="24"/>
                <w:szCs w:val="24"/>
                <w:lang w:eastAsia="zh-CN"/>
              </w:rPr>
              <w:t>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子目</w:t>
            </w:r>
            <w:r>
              <w:rPr>
                <w:rFonts w:ascii="Times New Roman" w:eastAsia="方正仿宋_GBK" w:cs="Times New Roman" w:hAnsi="Times New Roman"/>
                <w:sz w:val="24"/>
                <w:szCs w:val="24"/>
                <w:lang w:val="en-US" w:eastAsia="es-ES"/>
              </w:rPr>
              <w:t>改变至此，由子目</w:t>
            </w:r>
            <w:r>
              <w:rPr>
                <w:rFonts w:ascii="Times New Roman" w:eastAsia="方正仿宋_GBK" w:cs="Times New Roman" w:hAnsi="Times New Roman"/>
                <w:sz w:val="24"/>
                <w:szCs w:val="24"/>
                <w:lang w:val="en-US" w:eastAsia="zh-CN"/>
              </w:rPr>
              <w:t>8523.49</w:t>
            </w:r>
            <w:r>
              <w:rPr>
                <w:rFonts w:ascii="Times New Roman" w:eastAsia="方正仿宋_GBK" w:cs="Times New Roman" w:hAnsi="Times New Roman"/>
                <w:sz w:val="24"/>
                <w:szCs w:val="24"/>
                <w:lang w:val="en-US" w:eastAsia="es-ES"/>
              </w:rPr>
              <w:t>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w:t>
            </w:r>
            <w:r>
              <w:rPr>
                <w:rFonts w:ascii="Times New Roman" w:eastAsia="方正仿宋_GBK" w:cs="Times New Roman" w:hAnsi="Times New Roman"/>
                <w:sz w:val="24"/>
                <w:szCs w:val="24"/>
                <w:lang w:val="en-US" w:eastAsia="zh-CN"/>
              </w:rPr>
              <w:t>子目</w:t>
            </w:r>
            <w:r>
              <w:rPr>
                <w:rFonts w:ascii="Times New Roman" w:eastAsia="方正仿宋_GBK" w:cs="Times New Roman" w:hAnsi="Times New Roman"/>
                <w:sz w:val="24"/>
                <w:szCs w:val="24"/>
                <w:lang w:val="en-US" w:eastAsia="es-ES"/>
              </w:rPr>
              <w:t>改变至此，由子目8523</w:t>
            </w:r>
            <w:r>
              <w:rPr>
                <w:rFonts w:ascii="Times New Roman" w:eastAsia="方正仿宋_GBK" w:cs="Times New Roman" w:hAnsi="Times New Roman"/>
                <w:sz w:val="24"/>
                <w:szCs w:val="24"/>
                <w:lang w:val="en-US" w:eastAsia="zh-CN"/>
              </w:rPr>
              <w:t>.</w:t>
            </w:r>
            <w:r>
              <w:rPr>
                <w:rFonts w:ascii="Times New Roman" w:eastAsia="方正仿宋_GBK" w:cs="Times New Roman" w:hAnsi="Times New Roman"/>
                <w:sz w:val="24"/>
                <w:szCs w:val="24"/>
                <w:lang w:val="en-US" w:eastAsia="es-ES"/>
              </w:rPr>
              <w:t>4</w:t>
            </w:r>
            <w:r>
              <w:rPr>
                <w:rFonts w:ascii="Times New Roman" w:eastAsia="方正仿宋_GBK" w:cs="Times New Roman" w:hAnsi="Times New Roman"/>
                <w:sz w:val="24"/>
                <w:szCs w:val="24"/>
                <w:lang w:val="en-US" w:eastAsia="zh-CN"/>
              </w:rPr>
              <w:t>1</w:t>
            </w:r>
            <w:r>
              <w:rPr>
                <w:rFonts w:ascii="Times New Roman" w:eastAsia="方正仿宋_GBK" w:cs="Times New Roman" w:hAnsi="Times New Roman"/>
                <w:sz w:val="24"/>
                <w:szCs w:val="24"/>
                <w:lang w:val="en-US" w:eastAsia="es-ES"/>
              </w:rPr>
              <w:t>改变至此除外。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8523.80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441"/>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85.24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42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2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18"/>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1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42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8525.89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zh-CN"/>
              </w:rPr>
            </w:pPr>
            <w:r>
              <w:rPr>
                <w:rFonts w:ascii="Times New Roman" w:eastAsia="方正仿宋_GBK" w:cs="Times New Roman" w:hAnsi="Times New Roman"/>
                <w:sz w:val="24"/>
                <w:szCs w:val="24"/>
                <w:lang w:eastAsia="es-ES"/>
              </w:rPr>
              <w:t>8528.42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8528.72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8528.73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8529.90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8530.80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w:t>
            </w:r>
            <w:r>
              <w:rPr>
                <w:rFonts w:ascii="Times New Roman" w:eastAsia="方正仿宋_GBK" w:cs="Times New Roman" w:hAnsi="Times New Roman" w:hint="eastAsia"/>
                <w:sz w:val="24"/>
                <w:szCs w:val="24"/>
                <w:lang w:val="en-US" w:eastAsia="zh-CN"/>
              </w:rPr>
              <w:t>其他</w:t>
            </w:r>
            <w:r>
              <w:rPr>
                <w:rFonts w:ascii="Times New Roman" w:eastAsia="方正仿宋_GBK" w:cs="Times New Roman" w:hAnsi="Times New Roman"/>
                <w:sz w:val="24"/>
                <w:szCs w:val="24"/>
                <w:lang w:val="en-US" w:eastAsia="zh-CN"/>
              </w:rPr>
              <w:t>章</w:t>
            </w:r>
            <w:r>
              <w:rPr>
                <w:rFonts w:ascii="Times New Roman" w:eastAsia="方正仿宋_GBK" w:cs="Times New Roman" w:hAnsi="Times New Roman"/>
                <w:sz w:val="24"/>
                <w:szCs w:val="24"/>
                <w:lang w:val="en-US" w:eastAsia="es-ES"/>
              </w:rPr>
              <w:t>改变至此；或不要求税则归类改变，只要其区域价值成分不少于</w:t>
            </w:r>
            <w:r>
              <w:rPr>
                <w:rFonts w:ascii="Times New Roman" w:eastAsia="方正仿宋_GBK" w:cs="Times New Roman" w:hAnsi="Times New Roman"/>
                <w:sz w:val="24"/>
                <w:szCs w:val="24"/>
                <w:lang w:val="en-US" w:eastAsia="zh-CN"/>
              </w:rPr>
              <w:t>5</w:t>
            </w:r>
            <w:r>
              <w:rPr>
                <w:rFonts w:ascii="Times New Roman" w:eastAsia="方正仿宋_GBK" w:cs="Times New Roman" w:hAnsi="Times New Roman"/>
                <w:sz w:val="24"/>
                <w:szCs w:val="24"/>
                <w:lang w:val="en-US" w:eastAsia="es-ES"/>
              </w:rPr>
              <w:t>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8539.90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w:t>
            </w:r>
            <w:r>
              <w:rPr>
                <w:rFonts w:ascii="Times New Roman" w:eastAsia="方正仿宋_GBK" w:cs="Times New Roman" w:hAnsi="Times New Roman" w:hint="eastAsia"/>
                <w:sz w:val="24"/>
                <w:szCs w:val="24"/>
                <w:lang w:val="en-US" w:eastAsia="zh-CN"/>
              </w:rPr>
              <w:t>其他</w:t>
            </w:r>
            <w:r>
              <w:rPr>
                <w:rFonts w:ascii="Times New Roman" w:eastAsia="方正仿宋_GBK" w:cs="Times New Roman" w:hAnsi="Times New Roman"/>
                <w:sz w:val="24"/>
                <w:szCs w:val="24"/>
                <w:lang w:val="en-US" w:eastAsia="es-ES"/>
              </w:rPr>
              <w:t>子目改变至此；或不要求税则归类改变，只要其区域价值成分不少于40%。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8540.99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w:t>
            </w:r>
            <w:r>
              <w:rPr>
                <w:rFonts w:ascii="Times New Roman" w:eastAsia="方正仿宋_GBK" w:cs="Times New Roman" w:hAnsi="Times New Roman"/>
                <w:sz w:val="24"/>
                <w:szCs w:val="24"/>
                <w:lang w:val="en-US" w:eastAsia="zh-CN"/>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不要求税则归类改变，只要其区域价值成分不少于40%。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8544.70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436"/>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141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8549.99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货物应来自：</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1. 在中国或秘鲁境内的制造过程，或者</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2. 在中国或秘鲁境内收集的旧货，</w:t>
            </w:r>
          </w:p>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只要该货物仅适用于原材料回收。</w:t>
            </w:r>
          </w:p>
        </w:tc>
      </w:tr>
      <w:tr>
        <w:trPr>
          <w:trHeight w:val="87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第十七类 车辆、航空器、船舶及有关运输设备</w:t>
            </w:r>
          </w:p>
        </w:tc>
      </w:tr>
      <w:tr>
        <w:trPr>
          <w:trHeight w:val="87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第八十六章 铁道及电车道机车、车辆及其零件；铁道及电车道轨道固定装置及其零件、附件；各种机械（包括电动机械）交通信号设备</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8607.99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8609.00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从任何其他品目改变至此；或不要求税则归类改变，只要其区域价值成分不少于50%。</w:t>
            </w:r>
          </w:p>
        </w:tc>
      </w:tr>
      <w:tr>
        <w:trPr>
          <w:trHeight w:val="54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第八十七章 车辆及其零件、附件，但铁道及电车道车辆除外</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8701.95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8704.43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8709.11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8709.19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w:t>
            </w:r>
            <w:r>
              <w:rPr>
                <w:rFonts w:ascii="Times New Roman" w:eastAsia="方正仿宋_GBK" w:cs="Times New Roman" w:hAnsi="Times New Roman"/>
                <w:sz w:val="24"/>
                <w:szCs w:val="24"/>
                <w:lang w:val="en-US" w:eastAsia="zh-CN"/>
              </w:rPr>
              <w:t>45</w:t>
            </w:r>
            <w:r>
              <w:rPr>
                <w:rFonts w:ascii="Times New Roman" w:eastAsia="方正仿宋_GBK" w:cs="Times New Roman" w:hAnsi="Times New Roman"/>
                <w:sz w:val="24"/>
                <w:szCs w:val="24"/>
                <w:lang w:val="en-US" w:eastAsia="es-ES"/>
              </w:rPr>
              <w:t>%。</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8714.99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8716.90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492"/>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第八十八章 航空器、航天器及其零件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8802.60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88.06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88.07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312"/>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8807.90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从任何其他品目改变至此，只要其区域价值成分不少于50%。</w:t>
            </w:r>
          </w:p>
        </w:tc>
      </w:tr>
      <w:tr>
        <w:trPr>
          <w:trHeight w:val="43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第八十九章 船舶及浮动结构体</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8903.93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8908.00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6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bCs/>
                <w:sz w:val="24"/>
                <w:szCs w:val="24"/>
                <w:lang w:val="en-US" w:eastAsia="es-PE"/>
              </w:rPr>
            </w:pPr>
          </w:p>
          <w:p>
            <w:pPr>
              <w:spacing w:after="0" w:line="240" w:lineRule="auto"/>
              <w:jc w:val="left"/>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第十八类 光学、照相、电影、计量、检验、医疗或外科用仪器及设备、精密仪器及设备；钟表；乐器；上述物品的零件、附件</w:t>
            </w:r>
          </w:p>
        </w:tc>
      </w:tr>
      <w:tr>
        <w:trPr>
          <w:trHeight w:val="67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第九十章 光学、照相、电影、计量、检验、医疗或外科用仪器及设备、精密仪器及设备；上述物品的零件、附件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9003.11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9003.19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9007.91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9007.92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9010.50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9010.60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9013.80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9014.80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9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9019.20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9022.13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9022.14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9024.80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9025.80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9026.80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9029.90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9030.33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9030.84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9032.81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从任何其他子目改变至此。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9033.00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w:t>
            </w:r>
          </w:p>
        </w:tc>
      </w:tr>
      <w:tr>
        <w:trPr>
          <w:trHeight w:val="501"/>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第九十一章 钟表及其零件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9102.99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9110.11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9110.12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9110.19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9110.90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9114.90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2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第九十二章 乐器及其零件、附件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9206.00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9208.90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9209.94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9209.99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bCs/>
                <w:sz w:val="24"/>
                <w:szCs w:val="24"/>
                <w:lang w:val="en-US" w:eastAsia="es-PE"/>
              </w:rPr>
            </w:pPr>
          </w:p>
          <w:p>
            <w:pPr>
              <w:spacing w:after="0" w:line="240" w:lineRule="auto"/>
              <w:rPr>
                <w:rFonts w:ascii="Times New Roman" w:eastAsia="方正仿宋_GBK" w:cs="Times New Roman" w:hAnsi="Times New Roman"/>
                <w:b/>
                <w:bCs/>
                <w:sz w:val="24"/>
                <w:szCs w:val="24"/>
                <w:lang w:val="en-US" w:eastAsia="zh-CN"/>
              </w:rPr>
            </w:pPr>
            <w:r>
              <w:rPr>
                <w:rFonts w:ascii="Times New Roman" w:eastAsia="方正仿宋_GBK" w:cs="Times New Roman" w:hAnsi="Times New Roman"/>
                <w:b/>
                <w:bCs/>
                <w:sz w:val="24"/>
                <w:szCs w:val="24"/>
                <w:lang w:val="en-US" w:eastAsia="zh-CN"/>
              </w:rPr>
              <w:t>第十九类 武器、弹药及其零件、附件</w:t>
            </w:r>
          </w:p>
        </w:tc>
      </w:tr>
      <w:tr>
        <w:trPr>
          <w:trHeight w:val="526"/>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第九十三章 武器、弹药及其零件、附件</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9305.20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9307.00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8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val="0"/>
                <w:sz w:val="24"/>
                <w:szCs w:val="24"/>
                <w:lang w:val="en-US" w:eastAsia="es-PE"/>
              </w:rPr>
            </w:pPr>
          </w:p>
          <w:p>
            <w:pPr>
              <w:spacing w:after="0" w:line="240" w:lineRule="auto"/>
              <w:jc w:val="left"/>
              <w:rPr>
                <w:rFonts w:ascii="Times New Roman" w:eastAsia="方正仿宋_GBK" w:cs="Times New Roman" w:hAnsi="Times New Roman"/>
                <w:b w:val="0"/>
                <w:bCs w:val="0"/>
                <w:sz w:val="24"/>
                <w:szCs w:val="24"/>
                <w:lang w:val="en-US" w:eastAsia="zh-CN"/>
              </w:rPr>
            </w:pPr>
            <w:r>
              <w:rPr>
                <w:rFonts w:ascii="Times New Roman" w:eastAsia="方正仿宋_GBK" w:cs="Times New Roman" w:hAnsi="Times New Roman"/>
                <w:b/>
                <w:bCs/>
                <w:sz w:val="24"/>
                <w:szCs w:val="24"/>
                <w:lang w:eastAsia="zh-CN"/>
              </w:rPr>
              <w:t>第二十类</w:t>
            </w:r>
            <w:r>
              <w:rPr>
                <w:rFonts w:ascii="Times New Roman" w:eastAsia="方正仿宋_GBK" w:cs="Times New Roman" w:hAnsi="Times New Roman"/>
                <w:b/>
                <w:bCs/>
                <w:sz w:val="24"/>
                <w:szCs w:val="24"/>
                <w:lang w:val="en-US" w:eastAsia="zh-CN"/>
              </w:rPr>
              <w:t xml:space="preserve"> 杂项制品</w:t>
            </w:r>
          </w:p>
        </w:tc>
      </w:tr>
      <w:tr>
        <w:trPr>
          <w:trHeight w:val="82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jc w:val="left"/>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第九十四章 家具；寝具、褥垫、弹簧床垫、软座垫及类似的填充制品；未列名灯具及照明装置；发光标志、发光铭牌及类似品；活动房屋</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9401.52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9401.53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9401.71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9401.79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从任何其他子目改变至此；或不要求税则归类改变，只要其区域价值成分不少于45%。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9403.82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9403.83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9403.89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9403.99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从任何其他品目改变至此，只要其区域价值成分不少于45%。</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9405.41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9405.42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9405.49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9405.99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9406.90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544"/>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val="en-US" w:eastAsia="es-ES"/>
              </w:rPr>
            </w:pPr>
            <w:r>
              <w:rPr>
                <w:rFonts w:ascii="Times New Roman" w:eastAsia="方正仿宋_GBK" w:cs="Times New Roman" w:hAnsi="Times New Roman"/>
                <w:b/>
                <w:bCs/>
                <w:sz w:val="24"/>
                <w:szCs w:val="24"/>
                <w:lang w:val="en-US" w:eastAsia="es-ES"/>
              </w:rPr>
              <w:t>第九十五章 玩具、游戏品、运动用品及其零件、附件</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9503.00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9504.90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9506.12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9506.32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9506.51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9506.59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9506.61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9506.62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9506.69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9506.70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9506.99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9507.10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9507.30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9507.90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9508.23</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9508.24</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9508.25</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9508.26</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9508.40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从任何其他章改变至此；或不要求税则归类改变，只要其区域价值成分不少于50%。</w:t>
            </w:r>
          </w:p>
        </w:tc>
      </w:tr>
      <w:tr>
        <w:trPr>
          <w:trHeight w:val="570"/>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val="0"/>
                <w:bCs w:val="0"/>
                <w:sz w:val="24"/>
                <w:szCs w:val="24"/>
                <w:lang w:eastAsia="es-ES"/>
              </w:rPr>
            </w:pPr>
            <w:r>
              <w:rPr>
                <w:rFonts w:ascii="Times New Roman" w:eastAsia="方正仿宋_GBK" w:cs="Times New Roman" w:hAnsi="Times New Roman"/>
                <w:b/>
                <w:bCs/>
                <w:sz w:val="24"/>
                <w:szCs w:val="24"/>
                <w:lang w:eastAsia="es-ES"/>
              </w:rPr>
              <w:t>第九十六章 杂项制品</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9601.10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9601.90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9602.00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9605.00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9606.30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9607.11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9607.19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9607.20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9608.30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9608.40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9608.50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9608.60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9608.99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9609.10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9609.20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9609.90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9611.00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9612.20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9613.20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9613.80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9615.11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9615.19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9615.90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9616.20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96.17</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9617.00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96.18</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9618.00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33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96.19</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9619.00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3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96.20</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9620.00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zh-CN"/>
              </w:rPr>
            </w:pPr>
            <w:r>
              <w:rPr>
                <w:rFonts w:ascii="Times New Roman" w:eastAsia="方正仿宋_GBK" w:cs="Times New Roman" w:hAnsi="Times New Roman"/>
                <w:sz w:val="24"/>
                <w:szCs w:val="24"/>
                <w:lang w:val="en-US" w:eastAsia="zh-CN"/>
              </w:rPr>
              <w:t>从任何其他品目改变至此。</w:t>
            </w:r>
          </w:p>
        </w:tc>
      </w:tr>
      <w:tr>
        <w:trPr>
          <w:trHeight w:val="345"/>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hd w:val="clear" w:color="auto" w:fill="auto"/>
              <w:spacing w:after="0" w:line="240" w:lineRule="auto"/>
              <w:jc w:val="left"/>
              <w:rPr>
                <w:rFonts w:ascii="Times New Roman" w:eastAsia="方正仿宋_GBK" w:cs="Times New Roman" w:hAnsi="Times New Roman"/>
                <w:b/>
                <w:bCs/>
                <w:sz w:val="24"/>
                <w:szCs w:val="24"/>
                <w:lang w:val="en-US" w:eastAsia="es-PE"/>
              </w:rPr>
            </w:pPr>
          </w:p>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w:t>
            </w:r>
            <w:r>
              <w:rPr>
                <w:rFonts w:ascii="Times New Roman" w:eastAsia="方正仿宋_GBK" w:cs="Times New Roman" w:hAnsi="Times New Roman"/>
                <w:b/>
                <w:bCs/>
                <w:sz w:val="24"/>
                <w:szCs w:val="24"/>
                <w:lang w:val="en-US" w:eastAsia="zh-CN"/>
              </w:rPr>
              <w:t xml:space="preserve">二十一类 </w:t>
            </w:r>
            <w:r>
              <w:rPr>
                <w:rFonts w:ascii="Times New Roman" w:eastAsia="方正仿宋_GBK" w:cs="Times New Roman" w:hAnsi="Times New Roman"/>
                <w:b/>
                <w:bCs/>
                <w:sz w:val="24"/>
                <w:szCs w:val="24"/>
                <w:lang w:val="en-US" w:eastAsia="es-ES"/>
              </w:rPr>
              <w:t xml:space="preserve"> 艺术品、收藏品及古物</w:t>
            </w:r>
          </w:p>
        </w:tc>
      </w:tr>
      <w:tr>
        <w:trPr>
          <w:trHeight w:val="408"/>
        </w:trPr>
        <w:tc>
          <w:tcPr>
            <w:tcW w:w="9205"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pPr>
              <w:spacing w:after="0" w:line="240" w:lineRule="auto"/>
              <w:rPr>
                <w:rFonts w:ascii="Times New Roman" w:eastAsia="方正仿宋_GBK" w:cs="Times New Roman" w:hAnsi="Times New Roman"/>
                <w:b/>
                <w:bCs/>
                <w:sz w:val="24"/>
                <w:szCs w:val="24"/>
                <w:lang w:val="en-US" w:eastAsia="es-ES"/>
              </w:rPr>
            </w:pPr>
            <w:r>
              <w:rPr>
                <w:rFonts w:ascii="Times New Roman" w:eastAsia="方正仿宋_GBK" w:cs="Times New Roman" w:hAnsi="Times New Roman"/>
                <w:b/>
                <w:bCs/>
                <w:sz w:val="24"/>
                <w:szCs w:val="24"/>
                <w:lang w:val="en-US" w:eastAsia="es-ES"/>
              </w:rPr>
              <w:t>第九十七章 艺术品、收藏品及古物</w:t>
            </w:r>
          </w:p>
        </w:tc>
      </w:tr>
      <w:tr>
        <w:trPr>
          <w:trHeight w:val="34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 </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9701.91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9701.92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9701.99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47"/>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97.02</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9702.10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9702.90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434"/>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97.03</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9703.10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9703.90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765"/>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97.04</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9704.00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从任何其他品目改变至此；或不要求税则归类改变，只要其区域价值成分不少于50%。</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9705.21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9705.22</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9705.29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9705.31</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9705.39</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97.06</w:t>
            </w: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9706.10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r>
        <w:trPr>
          <w:trHeight w:val="510"/>
        </w:trPr>
        <w:tc>
          <w:tcPr>
            <w:tcW w:w="1116"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val="en-US" w:eastAsia="es-ES"/>
              </w:rPr>
            </w:pPr>
          </w:p>
        </w:tc>
        <w:tc>
          <w:tcPr>
            <w:tcW w:w="1551" w:type="dxa"/>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方正仿宋_GBK" w:cs="Times New Roman" w:hAnsi="Times New Roman"/>
                <w:sz w:val="24"/>
                <w:szCs w:val="24"/>
                <w:lang w:eastAsia="es-ES"/>
              </w:rPr>
            </w:pPr>
            <w:r>
              <w:rPr>
                <w:rFonts w:ascii="Times New Roman" w:eastAsia="方正仿宋_GBK" w:cs="Times New Roman" w:hAnsi="Times New Roman"/>
                <w:sz w:val="24"/>
                <w:szCs w:val="24"/>
                <w:lang w:eastAsia="es-ES"/>
              </w:rPr>
              <w:t>9706.90</w:t>
            </w:r>
          </w:p>
        </w:tc>
        <w:tc>
          <w:tcPr>
            <w:tcW w:w="6539" w:type="dxa"/>
            <w:tcBorders>
              <w:top w:val="nil"/>
              <w:left w:val="nil"/>
              <w:bottom w:val="single" w:sz="4" w:space="0" w:color="auto"/>
              <w:right w:val="single" w:sz="4" w:space="0" w:color="auto"/>
            </w:tcBorders>
            <w:shd w:val="clear" w:color="auto" w:fill="auto"/>
            <w:vAlign w:val="center"/>
          </w:tcPr>
          <w:p>
            <w:pPr>
              <w:spacing w:after="0" w:line="240" w:lineRule="auto"/>
              <w:jc w:val="left"/>
              <w:rPr>
                <w:rFonts w:ascii="Times New Roman" w:eastAsia="方正仿宋_GBK" w:cs="Times New Roman" w:hAnsi="Times New Roman"/>
                <w:sz w:val="24"/>
                <w:szCs w:val="24"/>
                <w:lang w:val="en-US" w:eastAsia="es-ES"/>
              </w:rPr>
            </w:pPr>
            <w:r>
              <w:rPr>
                <w:rFonts w:ascii="Times New Roman" w:eastAsia="方正仿宋_GBK" w:cs="Times New Roman" w:hAnsi="Times New Roman"/>
                <w:sz w:val="24"/>
                <w:szCs w:val="24"/>
                <w:lang w:val="en-US" w:eastAsia="es-ES"/>
              </w:rPr>
              <w:t>本</w:t>
            </w:r>
            <w:r>
              <w:rPr>
                <w:rFonts w:ascii="Times New Roman" w:eastAsia="方正仿宋_GBK" w:cs="Times New Roman" w:hAnsi="Times New Roman"/>
                <w:sz w:val="24"/>
                <w:szCs w:val="24"/>
                <w:lang w:val="en-US" w:eastAsia="zh-CN"/>
              </w:rPr>
              <w:t>子</w:t>
            </w:r>
            <w:r>
              <w:rPr>
                <w:rFonts w:ascii="Times New Roman" w:eastAsia="方正仿宋_GBK" w:cs="Times New Roman" w:hAnsi="Times New Roman"/>
                <w:sz w:val="24"/>
                <w:szCs w:val="24"/>
                <w:lang w:val="en-US" w:eastAsia="es-ES"/>
              </w:rPr>
              <w:t>目货物如果源于中国或秘鲁境内，应视为原产。</w:t>
            </w:r>
          </w:p>
        </w:tc>
      </w:tr>
    </w:tbl>
    <w:p>
      <w:pPr>
        <w:pStyle w:val="52"/>
        <w:spacing w:line="560" w:lineRule="exact"/>
        <w:ind w:firstLineChars="200" w:firstLine="480"/>
        <w:rPr>
          <w:rFonts w:ascii="Times New Roman" w:eastAsia="方正仿宋_GBK" w:cs="Times New Roman" w:hAnsi="Times New Roman"/>
          <w:kern w:val="0"/>
          <w:sz w:val="24"/>
          <w:szCs w:val="24"/>
          <w:lang w:eastAsia="es-ES"/>
        </w:rPr>
      </w:pPr>
      <w:r>
        <w:rPr>
          <w:rFonts w:ascii="Times New Roman" w:eastAsia="方正仿宋_GBK" w:cs="Times New Roman" w:hAnsi="Times New Roman"/>
          <w:kern w:val="0"/>
          <w:sz w:val="24"/>
          <w:szCs w:val="24"/>
          <w:lang w:eastAsia="es-ES" w:bidi="ar-SA"/>
        </w:rPr>
        <w:t>注：本附件以2022年版《协调制度》为基础制定。</w:t>
      </w:r>
    </w:p>
    <w:p>
      <w:pPr>
        <w:rPr>
          <w:rFonts w:ascii="Calibri" w:eastAsia="Calibri" w:cs="Times New Roman" w:hAnsi="Calibri"/>
          <w:lang w:val="en-US"/>
        </w:rPr>
      </w:pPr>
    </w:p>
    <w:sectPr>
      <w:pgSz w:w="11906" w:h="16838"/>
      <w:pgMar w:top="1418" w:right="1134" w:bottom="1418" w:left="1134" w:header="709" w:footer="709" w:gutter="0"/>
      <w:docGrid w:linePitch="360" w:charSpace="0"/>
    </w:sectPr>
  </w:body>
</w:document>
</file>

<file path=word/fontTable.xml><?xml version="1.0" encoding="utf-8"?>
<w:fonts xmlns:w="http://schemas.openxmlformats.org/wordprocessingml/2006/main" xmlns:r="http://schemas.openxmlformats.org/officeDocument/2006/relationships">
  <w:font w:name="方正黑体_GBK">
    <w:panose1 w:val="02010600010101010101"/>
    <w:charset w:val="86"/>
    <w:family w:val="auto"/>
    <w:pitch w:val="variable"/>
    <w:sig w:usb0="00000001" w:usb1="080E0000" w:usb2="00000000" w:usb3="00000000" w:csb0="00040000" w:csb1="00000000"/>
  </w:font>
  <w:font w:name="方正小标宋_GBK">
    <w:panose1 w:val="02000000000000000000"/>
    <w:charset w:val="86"/>
    <w:family w:val="auto"/>
    <w:pitch w:val="variable"/>
    <w:sig w:usb0="A00002BF" w:usb1="38CF7CFA" w:usb2="00082016" w:usb3="00000000" w:csb0="00040001" w:csb1="00000000"/>
  </w:font>
  <w:font w:name="Times New Roman">
    <w:panose1 w:val="02020603050405020304"/>
    <w:charset w:val="00"/>
    <w:family w:val="roman"/>
    <w:pitch w:val="variable"/>
    <w:sig w:usb0="20007A87" w:usb1="80000000" w:usb2="00000008" w:usb3="00000000" w:csb0="000001FF" w:csb1="00000000"/>
  </w:font>
  <w:font w:name="方正仿宋_GBK">
    <w:panose1 w:val="02000000000000000000"/>
    <w:charset w:val="86"/>
    <w:family w:val="auto"/>
    <w:pitch w:val="variable"/>
    <w:sig w:usb0="A00002BF" w:usb1="38CF7CFA" w:usb2="00082016" w:usb3="00000000" w:csb0="00040001" w:csb1="00000000"/>
  </w:font>
  <w:font w:name="Calibri">
    <w:altName w:val="Times New Roman"/>
    <w:panose1 w:val="020F0502020204030204"/>
    <w:charset w:val="00"/>
    <w:family w:val="swiss"/>
    <w:pitch w:val="variable"/>
    <w:sig w:usb0="E4002EFF" w:usb1="C200247B" w:usb2="00000009" w:usb3="00000000" w:csb0="200001FF" w:csb1="00000000"/>
  </w:font>
  <w:font w:name="宋体">
    <w:altName w:val="方正书宋_GBK"/>
    <w:panose1 w:val="02010600030101010101"/>
    <w:charset w:val="86"/>
    <w:family w:val="auto"/>
    <w:pitch w:val="variable"/>
    <w:sig w:usb0="00000203" w:usb1="288F0000" w:usb2="0000000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黑体">
    <w:altName w:val="方正黑体_GBK"/>
    <w:panose1 w:val="02000000000000000000"/>
    <w:charset w:val="86"/>
    <w:family w:val="script"/>
    <w:pitch w:val="variable"/>
    <w:sig w:usb0="A00002BF" w:usb1="38CF7CFA" w:usb2="00082016" w:usb3="00000000" w:csb0="00040001" w:csb1="00000000"/>
  </w:font>
  <w:font w:name="Calibri Light">
    <w:altName w:val="Calibri"/>
    <w:panose1 w:val="020F0302020204030204"/>
    <w:charset w:val="00"/>
    <w:family w:val="swiss"/>
    <w:pitch w:val="variable"/>
    <w:sig w:usb0="E4002EFF" w:usb1="C200247B" w:usb2="00000009" w:usb3="00000000" w:csb0="200001FF" w:csb1="00000000"/>
  </w:font>
  <w:font w:name="等线 Light">
    <w:altName w:val="方正黑体_GBK"/>
    <w:panose1 w:val="02010600030101010101"/>
    <w:charset w:val="86"/>
    <w:family w:val="auto"/>
    <w:pitch w:val="variable"/>
    <w:sig w:usb0="A00002BF" w:usb1="38CF7CFA" w:usb2="00000016" w:usb3="00000000" w:csb0="0004000F" w:csb1="00000000"/>
  </w:font>
  <w:font w:name="Segoe UI">
    <w:altName w:val="DejaVu Sans"/>
    <w:panose1 w:val="020B0502040204020203"/>
    <w:charset w:val="00"/>
    <w:family w:val="swiss"/>
    <w:pitch w:val="variable"/>
    <w:sig w:usb0="E4002EFF" w:usb1="C000E47F" w:usb2="00000009" w:usb3="00000000" w:csb0="200001FF" w:csb1="00000000"/>
  </w:font>
  <w:font w:name="等线">
    <w:altName w:val="Arial Unicode MS"/>
    <w:panose1 w:val="02010600030101010101"/>
    <w:charset w:val="86"/>
    <w:family w:val="auto"/>
    <w:pitch w:val="variable"/>
    <w:sig w:usb0="A00002BF" w:usb1="38CF7CFA" w:usb2="00000016" w:usb3="00000000" w:csb0="0004000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bordersDoNotSurroundHeader w:val="0"/>
  <w:bordersDoNotSurroundFooter w:val="0"/>
  <w:trackRevisions/>
  <w:defaultTabStop w:val="708"/>
  <w:drawingGridHorizontalSpacing w:val="110"/>
  <w:drawingGridVerticalSpacing w:val="156"/>
  <w:displayHorizontalDrawingGridEvery w:val="1"/>
  <w:displayVerticalDrawingGridEvery w:val="1"/>
  <w:noPunctuationKerning/>
  <w:compat>
    <w:spaceForUL/>
    <w:doNotExpandShiftReturn/>
    <w:doNotUseIndentAsNumberingTabStop/>
    <w:compatSetting w:name="compatibilityMode" w:uri="http://schemas.microsoft.com/office/word" w:val="14"/>
  </w:compat>
  <w:docVars>
    <w:docVar w:name="commondata" w:val="eyJoZGlkIjoiMWU3NTVkN2M4ODNkMTcxMmMwMjE2N2YxMjI3YmIwMz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Calibri" w:eastAsia="Calibri" w:cs="Arial" w:hAnsi="Calibri"/>
      <w:sz w:val="22"/>
      <w:szCs w:val="22"/>
      <w:lang w:val="es-PE" w:eastAsia="zh-CN" w:bidi="ar-SA"/>
    </w:rPr>
  </w:style>
  <w:style w:type="paragraph" w:styleId="1">
    <w:name w:val="heading 1"/>
    <w:basedOn w:val="0"/>
    <w:next w:val="0"/>
    <w:pPr>
      <w:keepNext/>
      <w:spacing w:before="240" w:after="60" w:line="240" w:lineRule="auto"/>
      <w:outlineLvl w:val="0"/>
    </w:pPr>
    <w:rPr>
      <w:rFonts w:ascii="Arial" w:eastAsia="宋体" w:cs="Arial" w:hAnsi="Arial"/>
      <w:b/>
      <w:bCs/>
      <w:kern w:val="32"/>
      <w:sz w:val="32"/>
      <w:szCs w:val="32"/>
      <w:lang w:val="en-NZ"/>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40" w:after="0" w:line="276" w:lineRule="auto"/>
      <w:outlineLvl w:val="2"/>
    </w:pPr>
    <w:rPr>
      <w:rFonts w:ascii="Calibri Light" w:eastAsia="等线 Light" w:cs="Times New Roman" w:hAnsi="Calibri Light"/>
      <w:color w:val="1F4E79"/>
      <w:sz w:val="24"/>
      <w:szCs w:val="24"/>
      <w:lang w:val="es-ES"/>
    </w:rPr>
  </w:style>
  <w:style w:type="character" w:default="1" w:styleId="10">
    <w:name w:val="Default Paragraph Font"/>
  </w:style>
  <w:style w:type="paragraph" w:styleId="15">
    <w:name w:val="annotation text"/>
    <w:basedOn w:val="0"/>
    <w:pPr>
      <w:spacing w:line="240" w:lineRule="auto"/>
    </w:pPr>
    <w:rPr>
      <w:sz w:val="20"/>
      <w:szCs w:val="20"/>
    </w:rPr>
  </w:style>
  <w:style w:type="paragraph" w:styleId="16">
    <w:name w:val="Body Text"/>
    <w:basedOn w:val="0"/>
    <w:pPr>
      <w:widowControl w:val="0"/>
      <w:autoSpaceDE w:val="0"/>
      <w:autoSpaceDN w:val="0"/>
      <w:spacing w:after="0" w:line="240" w:lineRule="auto"/>
    </w:pPr>
    <w:rPr>
      <w:rFonts w:ascii="Times New Roman" w:eastAsia="Times New Roman" w:cs="Times New Roman" w:hAnsi="Times New Roman"/>
      <w:sz w:val="24"/>
      <w:szCs w:val="24"/>
      <w:lang w:val="en-US" w:bidi="en-US"/>
    </w:rPr>
  </w:style>
  <w:style w:type="paragraph" w:styleId="17">
    <w:name w:val="endnote text"/>
    <w:basedOn w:val="0"/>
    <w:pPr>
      <w:spacing w:after="0" w:line="240" w:lineRule="auto"/>
    </w:pPr>
    <w:rPr>
      <w:sz w:val="20"/>
      <w:szCs w:val="20"/>
    </w:rPr>
  </w:style>
  <w:style w:type="paragraph" w:styleId="18">
    <w:name w:val="Balloon Text"/>
    <w:basedOn w:val="0"/>
    <w:pPr>
      <w:spacing w:after="0" w:line="240" w:lineRule="auto"/>
    </w:pPr>
    <w:rPr>
      <w:rFonts w:ascii="Segoe UI" w:cs="Segoe UI" w:hAnsi="Segoe UI"/>
      <w:sz w:val="18"/>
      <w:szCs w:val="18"/>
    </w:rPr>
  </w:style>
  <w:style w:type="paragraph" w:styleId="19">
    <w:name w:val="footer"/>
    <w:basedOn w:val="0"/>
    <w:pPr>
      <w:tabs>
        <w:tab w:val="center" w:pos="4252"/>
        <w:tab w:val="right" w:pos="8504"/>
      </w:tabs>
      <w:spacing w:after="0" w:line="240" w:lineRule="auto"/>
    </w:pPr>
  </w:style>
  <w:style w:type="paragraph" w:styleId="20">
    <w:name w:val="header"/>
    <w:basedOn w:val="0"/>
    <w:pPr>
      <w:tabs>
        <w:tab w:val="center" w:pos="4252"/>
        <w:tab w:val="right" w:pos="8504"/>
      </w:tabs>
      <w:spacing w:after="0" w:line="240" w:lineRule="auto"/>
    </w:pPr>
  </w:style>
  <w:style w:type="paragraph" w:styleId="21">
    <w:name w:val="footnote text"/>
    <w:basedOn w:val="0"/>
    <w:pPr>
      <w:spacing w:after="0" w:line="240" w:lineRule="auto"/>
    </w:pPr>
    <w:rPr>
      <w:sz w:val="20"/>
      <w:szCs w:val="20"/>
    </w:rPr>
  </w:style>
  <w:style w:type="paragraph" w:styleId="22">
    <w:name w:val="index 1"/>
    <w:basedOn w:val="0"/>
    <w:next w:val="0"/>
    <w:pPr>
      <w:tabs>
        <w:tab w:val="left" w:pos="709"/>
        <w:tab w:val="left" w:pos="1418"/>
      </w:tabs>
      <w:spacing w:after="0" w:line="240" w:lineRule="auto"/>
      <w:jc w:val="center"/>
    </w:pPr>
    <w:rPr>
      <w:rFonts w:ascii="Times New Roman" w:eastAsia="Times New Roman" w:cs="Times New Roman" w:hAnsi="Times New Roman"/>
      <w:sz w:val="24"/>
      <w:szCs w:val="20"/>
      <w:lang w:val="en-US"/>
    </w:rPr>
  </w:style>
  <w:style w:type="paragraph" w:styleId="23">
    <w:name w:val="annotation subject"/>
    <w:basedOn w:val="15"/>
    <w:next w:val="15"/>
    <w:rPr>
      <w:b/>
      <w:bCs/>
    </w:rPr>
  </w:style>
  <w:style w:type="character" w:styleId="24">
    <w:name w:val="annotation reference"/>
    <w:basedOn w:val="10"/>
    <w:rPr>
      <w:sz w:val="16"/>
      <w:szCs w:val="16"/>
    </w:rPr>
  </w:style>
  <w:style w:type="character" w:styleId="25">
    <w:name w:val="footnote reference"/>
    <w:basedOn w:val="10"/>
    <w:rPr>
      <w:vertAlign w:val="superscript"/>
    </w:rPr>
  </w:style>
  <w:style w:type="paragraph" w:customStyle="1" w:styleId="26">
    <w:name w:val="List Paragraph"/>
    <w:basedOn w:val="0"/>
    <w:pPr>
      <w:ind w:left="720"/>
      <w:contextualSpacing/>
    </w:pPr>
  </w:style>
  <w:style w:type="character" w:customStyle="1" w:styleId="27">
    <w:name w:val="Placeholder Text"/>
    <w:basedOn w:val="10"/>
    <w:rPr>
      <w:color w:val="808080"/>
    </w:rPr>
  </w:style>
  <w:style w:type="paragraph" w:customStyle="1" w:styleId="28">
    <w:name w:val="批注框文本1"/>
    <w:basedOn w:val="0"/>
    <w:pPr>
      <w:spacing w:after="0" w:line="240" w:lineRule="auto"/>
    </w:pPr>
    <w:rPr>
      <w:rFonts w:ascii="Times New Roman" w:eastAsia="宋体" w:cs="Times New Roman" w:hAnsi="Times New Roman"/>
      <w:sz w:val="18"/>
      <w:szCs w:val="18"/>
      <w:lang w:val="en-AU"/>
    </w:rPr>
  </w:style>
  <w:style w:type="paragraph" w:customStyle="1" w:styleId="29">
    <w:name w:val="Default"/>
    <w:pPr>
      <w:widowControl w:val="0"/>
      <w:autoSpaceDE w:val="0"/>
      <w:autoSpaceDN w:val="0"/>
      <w:adjustRightInd w:val="0"/>
    </w:pPr>
    <w:rPr>
      <w:rFonts w:ascii="Arial" w:eastAsia="等线" w:cs="Arial" w:hAnsi="Arial"/>
      <w:color w:val="000000"/>
      <w:sz w:val="24"/>
      <w:szCs w:val="24"/>
      <w:lang w:val="en-US" w:eastAsia="zh-CN" w:bidi="ar-SA"/>
    </w:rPr>
  </w:style>
  <w:style w:type="paragraph" w:customStyle="1" w:styleId="30">
    <w:name w:val="Listenabsatz1"/>
    <w:next w:val="17"/>
    <w:pPr>
      <w:spacing w:line="260" w:lineRule="atLeast"/>
      <w:ind w:left="720"/>
    </w:pPr>
    <w:rPr>
      <w:rFonts w:ascii="Arial" w:eastAsia="宋体" w:cs="Times New Roman" w:hAnsi="Arial"/>
      <w:sz w:val="22"/>
      <w:szCs w:val="20"/>
      <w:lang w:val="de-CH" w:eastAsia="zh-CN" w:bidi="ar-SA"/>
    </w:rPr>
  </w:style>
  <w:style w:type="paragraph" w:customStyle="1" w:styleId="31">
    <w:name w:val="修订1"/>
    <w:rPr>
      <w:rFonts w:ascii="Calibri" w:eastAsia="Calibri" w:cs="Arial" w:hAnsi="Calibri"/>
      <w:sz w:val="22"/>
      <w:szCs w:val="22"/>
      <w:lang w:val="es-PE" w:eastAsia="zh-CN" w:bidi="ar-SA"/>
    </w:rPr>
  </w:style>
  <w:style w:type="paragraph" w:customStyle="1" w:styleId="32">
    <w:name w:val="Revision"/>
    <w:rPr>
      <w:rFonts w:ascii="Calibri" w:eastAsia="Calibri" w:cs="Arial" w:hAnsi="Calibri"/>
      <w:sz w:val="22"/>
      <w:szCs w:val="22"/>
      <w:lang w:val="es-PE" w:eastAsia="zh-CN" w:bidi="ar-SA"/>
    </w:rPr>
  </w:style>
  <w:style w:type="paragraph" w:customStyle="1" w:styleId="33">
    <w:name w:val="participant"/>
    <w:basedOn w:val="0"/>
    <w:pPr>
      <w:tabs>
        <w:tab w:val="left" w:pos="4820"/>
        <w:tab w:val="left" w:pos="5103"/>
      </w:tabs>
      <w:spacing w:after="360" w:line="240" w:lineRule="auto"/>
    </w:pPr>
    <w:rPr>
      <w:rFonts w:ascii="Times New Roman" w:eastAsia="Times New Roman" w:cs="Times New Roman" w:hAnsi="Times New Roman"/>
      <w:snapToGrid w:val="0"/>
      <w:color w:val="000000"/>
      <w:sz w:val="24"/>
      <w:szCs w:val="24"/>
      <w:u w:color="000000"/>
      <w:lang w:val="en-GB"/>
    </w:rPr>
  </w:style>
  <w:style w:type="paragraph" w:customStyle="1" w:styleId="34">
    <w:name w:val="NoteHead"/>
    <w:basedOn w:val="0"/>
    <w:next w:val="35"/>
    <w:pPr>
      <w:spacing w:before="720" w:after="720" w:line="240" w:lineRule="auto"/>
      <w:jc w:val="center"/>
    </w:pPr>
    <w:rPr>
      <w:rFonts w:ascii="Times New Roman" w:eastAsia="Times New Roman" w:cs="Times New Roman" w:hAnsi="Times New Roman"/>
      <w:b/>
      <w:caps w:val="0"/>
      <w:smallCaps/>
      <w:sz w:val="24"/>
      <w:szCs w:val="20"/>
      <w:lang w:val="fr-FR"/>
    </w:rPr>
  </w:style>
  <w:style w:type="paragraph" w:customStyle="1" w:styleId="35">
    <w:name w:val="Subject"/>
    <w:basedOn w:val="0"/>
    <w:next w:val="1"/>
    <w:pPr>
      <w:spacing w:after="480" w:line="240" w:lineRule="auto"/>
      <w:ind w:left="1191" w:hanging="1191"/>
    </w:pPr>
    <w:rPr>
      <w:rFonts w:ascii="Times New Roman" w:eastAsia="Times New Roman" w:cs="Times New Roman" w:hAnsi="Times New Roman"/>
      <w:b/>
      <w:sz w:val="24"/>
      <w:szCs w:val="20"/>
      <w:lang w:val="fr-FR"/>
    </w:rPr>
  </w:style>
  <w:style w:type="paragraph" w:customStyle="1" w:styleId="36">
    <w:name w:val="正文 A"/>
    <w:next w:val="19"/>
    <w:pPr>
      <w:widowControl w:val="0"/>
      <w:jc w:val="both"/>
    </w:pPr>
    <w:rPr>
      <w:rFonts w:ascii="Times New Roman" w:eastAsia="宋体" w:cs="Times New Roman" w:hAnsi="Times New Roman"/>
      <w:color w:val="000000"/>
      <w:kern w:val="2"/>
      <w:sz w:val="21"/>
      <w:szCs w:val="21"/>
      <w:u w:color="000000"/>
      <w:lang w:val="en-US" w:eastAsia="en-GB" w:bidi="ar-SA"/>
    </w:rPr>
  </w:style>
  <w:style w:type="paragraph" w:customStyle="1" w:styleId="37">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38">
    <w:name w:val="样式 1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39">
    <w:name w:val="样式 10 磅"/>
    <w:pPr>
      <w:widowControl w:val="0"/>
      <w:jc w:val="both"/>
    </w:pPr>
    <w:rPr>
      <w:rFonts w:ascii="Calibri" w:eastAsia="宋体" w:cs="Arial" w:hAnsi="Calibri"/>
      <w:kern w:val="2"/>
      <w:sz w:val="21"/>
      <w:szCs w:val="22"/>
      <w:lang w:val="en-US" w:eastAsia="zh-CN" w:bidi="ar-SA"/>
    </w:rPr>
  </w:style>
  <w:style w:type="paragraph" w:customStyle="1" w:styleId="40">
    <w:name w:val="样式 1 10 磅"/>
    <w:pPr>
      <w:widowControl w:val="0"/>
      <w:jc w:val="both"/>
    </w:pPr>
    <w:rPr>
      <w:rFonts w:ascii="Calibri" w:eastAsia="宋体" w:cs="Arial" w:hAnsi="Calibri"/>
      <w:kern w:val="2"/>
      <w:sz w:val="21"/>
      <w:szCs w:val="22"/>
      <w:lang w:val="en-US" w:eastAsia="zh-CN" w:bidi="ar-SA"/>
    </w:rPr>
  </w:style>
  <w:style w:type="paragraph" w:customStyle="1" w:styleId="41">
    <w:name w:val="样式 2 10 磅"/>
    <w:pPr>
      <w:widowControl w:val="0"/>
      <w:jc w:val="both"/>
    </w:pPr>
    <w:rPr>
      <w:rFonts w:ascii="Calibri" w:eastAsia="宋体" w:cs="Arial" w:hAnsi="Calibri"/>
      <w:kern w:val="2"/>
      <w:sz w:val="21"/>
      <w:szCs w:val="22"/>
      <w:lang w:val="en-US" w:eastAsia="zh-CN" w:bidi="ar-SA"/>
    </w:rPr>
  </w:style>
  <w:style w:type="paragraph" w:customStyle="1" w:styleId="42">
    <w:name w:val="样式 11 磅"/>
    <w:pPr>
      <w:spacing w:after="160" w:line="259" w:lineRule="auto"/>
    </w:pPr>
    <w:rPr>
      <w:rFonts w:ascii="Calibri" w:eastAsia="Calibri" w:cs="Arial" w:hAnsi="Calibri"/>
      <w:sz w:val="22"/>
      <w:szCs w:val="22"/>
      <w:lang w:val="es-PE" w:eastAsia="zh-CN" w:bidi="ar-SA"/>
    </w:rPr>
  </w:style>
  <w:style w:type="paragraph" w:customStyle="1" w:styleId="43">
    <w:name w:val="样式 1 11 磅"/>
    <w:pPr>
      <w:spacing w:after="160" w:line="259" w:lineRule="auto"/>
    </w:pPr>
    <w:rPr>
      <w:rFonts w:ascii="Calibri" w:eastAsia="Calibri" w:cs="Arial" w:hAnsi="Calibri"/>
      <w:sz w:val="22"/>
      <w:szCs w:val="22"/>
      <w:lang w:val="es-PE" w:eastAsia="zh-CN" w:bidi="ar-SA"/>
    </w:rPr>
  </w:style>
  <w:style w:type="paragraph" w:customStyle="1" w:styleId="44">
    <w:name w:val="样式 2 11 磅"/>
    <w:pPr>
      <w:spacing w:after="160" w:line="259" w:lineRule="auto"/>
    </w:pPr>
    <w:rPr>
      <w:rFonts w:ascii="Calibri" w:eastAsia="Calibri" w:cs="Arial" w:hAnsi="Calibri"/>
      <w:sz w:val="22"/>
      <w:szCs w:val="22"/>
      <w:lang w:val="es-PE" w:eastAsia="zh-CN" w:bidi="ar-SA"/>
    </w:rPr>
  </w:style>
  <w:style w:type="paragraph" w:customStyle="1" w:styleId="45">
    <w:name w:val="样式 3 11 磅"/>
    <w:pPr>
      <w:spacing w:after="160" w:line="259" w:lineRule="auto"/>
    </w:pPr>
    <w:rPr>
      <w:rFonts w:ascii="Calibri" w:eastAsia="Calibri" w:cs="Arial" w:hAnsi="Calibri"/>
      <w:sz w:val="22"/>
      <w:szCs w:val="22"/>
      <w:lang w:val="es-PE" w:eastAsia="zh-CN" w:bidi="ar-SA"/>
    </w:rPr>
  </w:style>
  <w:style w:type="paragraph" w:customStyle="1" w:styleId="46">
    <w:name w:val="样式 4 11 磅"/>
    <w:pPr>
      <w:spacing w:after="160" w:line="259" w:lineRule="auto"/>
    </w:pPr>
    <w:rPr>
      <w:rFonts w:ascii="Calibri" w:eastAsia="Calibri" w:cs="Arial" w:hAnsi="Calibri"/>
      <w:sz w:val="22"/>
      <w:szCs w:val="22"/>
      <w:lang w:val="es-PE" w:eastAsia="zh-CN" w:bidi="ar-SA"/>
    </w:rPr>
  </w:style>
  <w:style w:type="paragraph" w:customStyle="1" w:styleId="47">
    <w:name w:val="样式 5 11 磅"/>
    <w:pPr>
      <w:spacing w:after="160" w:line="259" w:lineRule="auto"/>
    </w:pPr>
    <w:rPr>
      <w:rFonts w:ascii="Calibri" w:eastAsia="Calibri" w:cs="Arial" w:hAnsi="Calibri"/>
      <w:sz w:val="22"/>
      <w:szCs w:val="22"/>
      <w:lang w:val="es-PE" w:eastAsia="zh-CN" w:bidi="ar-SA"/>
    </w:rPr>
  </w:style>
  <w:style w:type="paragraph" w:customStyle="1" w:styleId="48">
    <w:name w:val="样式 6 11 磅"/>
    <w:pPr>
      <w:spacing w:after="160" w:line="259" w:lineRule="auto"/>
    </w:pPr>
    <w:rPr>
      <w:rFonts w:ascii="Calibri" w:eastAsia="Calibri" w:cs="Arial" w:hAnsi="Calibri"/>
      <w:sz w:val="22"/>
      <w:szCs w:val="22"/>
      <w:lang w:val="es-PE" w:eastAsia="zh-CN" w:bidi="ar-SA"/>
    </w:rPr>
  </w:style>
  <w:style w:type="paragraph" w:customStyle="1" w:styleId="49">
    <w:name w:val="样式 3 10 磅"/>
    <w:pPr>
      <w:widowControl w:val="0"/>
      <w:jc w:val="both"/>
    </w:pPr>
    <w:rPr>
      <w:rFonts w:ascii="Calibri" w:eastAsia="宋体" w:cs="Arial" w:hAnsi="Calibri"/>
      <w:kern w:val="2"/>
      <w:sz w:val="21"/>
      <w:szCs w:val="22"/>
      <w:lang w:val="en-US" w:eastAsia="zh-CN" w:bidi="ar-SA"/>
    </w:rPr>
  </w:style>
  <w:style w:type="paragraph" w:customStyle="1" w:styleId="50">
    <w:name w:val="样式 7 11 磅"/>
    <w:pPr>
      <w:spacing w:after="160" w:line="259" w:lineRule="auto"/>
    </w:pPr>
    <w:rPr>
      <w:rFonts w:ascii="Calibri" w:eastAsia="Calibri" w:cs="Arial" w:hAnsi="Calibri"/>
      <w:sz w:val="22"/>
      <w:szCs w:val="22"/>
      <w:lang w:val="es-PE" w:eastAsia="zh-CN" w:bidi="ar-SA"/>
    </w:rPr>
  </w:style>
  <w:style w:type="paragraph" w:customStyle="1" w:styleId="51">
    <w:name w:val="样式 8 11 磅"/>
    <w:pPr>
      <w:spacing w:after="160" w:line="259" w:lineRule="auto"/>
    </w:pPr>
    <w:rPr>
      <w:rFonts w:ascii="Calibri" w:eastAsia="Calibri" w:cs="Arial" w:hAnsi="Calibri"/>
      <w:sz w:val="22"/>
      <w:szCs w:val="22"/>
      <w:lang w:val="es-PE" w:eastAsia="zh-CN" w:bidi="ar-SA"/>
    </w:rPr>
  </w:style>
  <w:style w:type="paragraph" w:customStyle="1" w:styleId="52">
    <w:name w:val="样式 4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200</TotalTime>
  <Application>Yozo_Office</Application>
  <Pages>263</Pages>
  <Words>137417</Words>
  <Characters>182258</Characters>
  <Lines>22264</Lines>
  <Paragraphs>12903</Paragraphs>
  <CharactersWithSpaces>183640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PE</dc:creator>
  <cp:lastModifiedBy>文姝</cp:lastModifiedBy>
  <cp:revision>5</cp:revision>
  <cp:lastPrinted>2022-08-20T07:43:00Z</cp:lastPrinted>
  <dcterms:created xsi:type="dcterms:W3CDTF">2023-06-03T18:25:00Z</dcterms:created>
  <dcterms:modified xsi:type="dcterms:W3CDTF">2026-10-30T11:20:04Z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2052-12.1.0.28599</vt:lpwstr>
  </property>
  <property fmtid="{D5CDD505-2E9C-101B-9397-08002B2CF9AE}" pid="3" name="ICV">
    <vt:lpwstr>23D282279059495F84BB4AD0F681D6AD_13</vt:lpwstr>
  </property>
  <property fmtid="{D5CDD505-2E9C-101B-9397-08002B2CF9AE}" pid="4" name="GrammarlyDocumentId">
    <vt:lpwstr>5b5b39f53dcdd2417de559681088e99935eb9687786eb1fcfcee01970ba1a5b0</vt:lpwstr>
  </property>
  <property fmtid="{D5CDD505-2E9C-101B-9397-08002B2CF9AE}" pid="5" name="KSOTemplateDocerSaveRecord">
    <vt:lpwstr>eyJoZGlkIjoiMzEwNTM5NzYwMDRjMzkwZTVkZjY2ODkwMGIxNGU0OTUiLCJ1c2VySWQiOiI0MjA4ODU1NTYifQ==</vt:lpwstr>
  </property>
</Properties>
</file>