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eastAsia="方正仿宋_GBK" w:cs="Times New Roman" w:hAnsi="Times New Roman" w:hint="eastAsia"/>
          <w:sz w:val="32"/>
          <w:szCs w:val="32"/>
          <w:lang w:val="en-US" w:eastAsia="zh-CN" w:bidi="ar-SA"/>
        </w:rPr>
      </w:pPr>
      <w:bookmarkStart w:id="0" w:name="_GoBack"/>
      <w:bookmarkEnd w:id="0"/>
      <w:r>
        <w:rPr>
          <w:rFonts w:ascii="方正黑体_GBK" w:eastAsia="方正黑体_GBK" w:cs="方正黑体_GBK" w:hint="eastAsia"/>
          <w:sz w:val="32"/>
          <w:szCs w:val="32"/>
          <w:lang w:val="en-US" w:eastAsia="zh-CN" w:bidi="ar-SA"/>
        </w:rPr>
        <w:t>附件</w:t>
      </w:r>
      <w:r>
        <w:rPr>
          <w:rFonts w:ascii="方正黑体_GBK" w:eastAsia="方正黑体_GBK" w:cs="Times New Roman" w:hint="eastAsia"/>
          <w:sz w:val="32"/>
          <w:szCs w:val="32"/>
          <w:lang w:val="en-US" w:eastAsia="zh-CN" w:bidi="ar-SA"/>
        </w:rPr>
        <w:t>1</w:t>
      </w:r>
    </w:p>
    <w:p>
      <w:pPr>
        <w:keepNext w:val="0"/>
        <w:keepLines w:val="0"/>
        <w:widowControl w:val="0"/>
        <w:suppressLineNumbers w:val="0"/>
        <w:adjustRightInd w:val="0"/>
        <w:snapToGrid w:val="0"/>
        <w:spacing w:line="560" w:lineRule="exact"/>
        <w:ind w:left="0"/>
        <w:jc w:val="center"/>
        <w:rPr>
          <w:rFonts w:ascii="方正小标宋_GBK" w:eastAsia="方正小标宋_GBK" w:cs="Times New Roman"/>
          <w:kern w:val="2"/>
          <w:sz w:val="36"/>
          <w:szCs w:val="36"/>
          <w:lang w:val="en-US" w:eastAsia="zh-CN" w:bidi="ar-SA"/>
        </w:rPr>
      </w:pPr>
      <w:r>
        <w:rPr>
          <w:rFonts w:ascii="方正小标宋_GBK" w:eastAsia="方正小标宋_GBK" w:cs="Times New Roman" w:hint="eastAsia"/>
          <w:kern w:val="2"/>
          <w:sz w:val="36"/>
          <w:szCs w:val="36"/>
          <w:lang w:val="en-US" w:eastAsia="zh-CN" w:bidi="ar-SA"/>
        </w:rPr>
        <w:t>地中海实蝇管制区内加工来自其他管制区输华</w:t>
      </w:r>
    </w:p>
    <w:p>
      <w:pPr>
        <w:keepNext w:val="0"/>
        <w:keepLines w:val="0"/>
        <w:widowControl w:val="0"/>
        <w:suppressLineNumbers w:val="0"/>
        <w:adjustRightInd w:val="0"/>
        <w:snapToGrid w:val="0"/>
        <w:spacing w:line="560" w:lineRule="exact"/>
        <w:ind w:left="0"/>
        <w:jc w:val="center"/>
        <w:rPr>
          <w:rFonts w:ascii="方正小标宋_GBK" w:eastAsia="方正小标宋_GBK" w:hint="eastAsia"/>
          <w:sz w:val="36"/>
          <w:szCs w:val="36"/>
        </w:rPr>
      </w:pPr>
      <w:r>
        <w:rPr>
          <w:rFonts w:ascii="方正小标宋_GBK" w:eastAsia="方正小标宋_GBK" w:cs="Times New Roman" w:hint="eastAsia"/>
          <w:kern w:val="2"/>
          <w:sz w:val="36"/>
          <w:szCs w:val="36"/>
          <w:lang w:val="en-US" w:eastAsia="zh-CN" w:bidi="ar-SA"/>
        </w:rPr>
        <w:t>水果（樱桃和核果）风险管控措施</w:t>
      </w:r>
    </w:p>
    <w:p>
      <w:pPr>
        <w:keepNext w:val="0"/>
        <w:keepLines w:val="0"/>
        <w:widowControl w:val="0"/>
        <w:suppressLineNumbers w:val="0"/>
        <w:adjustRightInd w:val="0"/>
        <w:snapToGrid w:val="0"/>
        <w:spacing w:before="0" w:after="0" w:line="560" w:lineRule="exact"/>
        <w:ind w:left="0" w:right="0"/>
        <w:jc w:val="center"/>
        <w:rPr>
          <w:rFonts w:ascii="Times New Roman" w:eastAsia="方正黑体_GBK" w:cs="Times New Roman" w:hAnsi="Times New Roman"/>
          <w:kern w:val="2"/>
          <w:sz w:val="32"/>
          <w:szCs w:val="32"/>
          <w:lang w:val="en-US" w:bidi="ar-SA"/>
        </w:rPr>
      </w:pP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kern w:val="2"/>
          <w:sz w:val="32"/>
          <w:szCs w:val="32"/>
          <w:lang w:val="en-US" w:bidi="ar-SA"/>
        </w:rPr>
      </w:pPr>
      <w:r>
        <w:rPr>
          <w:rFonts w:ascii="Times New Roman" w:eastAsia="方正黑体_GBK" w:cs="Times New Roman" w:hAnsi="Times New Roman" w:hint="eastAsia"/>
          <w:kern w:val="2"/>
          <w:sz w:val="32"/>
          <w:szCs w:val="32"/>
          <w:lang w:val="en-US" w:eastAsia="zh-CN" w:bidi="ar-SA"/>
        </w:rPr>
        <w:t>一、总体要求</w:t>
      </w:r>
    </w:p>
    <w:p>
      <w:pPr>
        <w:keepNext w:val="0"/>
        <w:keepLines w:val="0"/>
        <w:widowControl w:val="0"/>
        <w:suppressLineNumbers w:val="0"/>
        <w:adjustRightInd w:val="0"/>
        <w:snapToGrid w:val="0"/>
        <w:spacing w:line="560" w:lineRule="exact"/>
        <w:ind w:left="0" w:firstLineChars="200" w:firstLine="640"/>
        <w:rPr>
          <w:rFonts w:ascii="Times New Roman" w:eastAsia="方正仿宋_GBK" w:cs="Times New Roman" w:hAnsi="Times New Roman"/>
          <w:sz w:val="32"/>
          <w:szCs w:val="32"/>
          <w:lang w:val="en-US" w:bidi="ar-SA"/>
        </w:rPr>
      </w:pPr>
      <w:r>
        <w:rPr>
          <w:rFonts w:ascii="Times New Roman" w:eastAsia="方正仿宋_GBK" w:cs="Times New Roman" w:hAnsi="Times New Roman"/>
          <w:kern w:val="0"/>
          <w:sz w:val="32"/>
          <w:szCs w:val="32"/>
          <w:lang w:val="en-US" w:eastAsia="zh-CN" w:bidi="ar-SA"/>
        </w:rPr>
        <w:t>地中海实蝇</w:t>
      </w:r>
      <w:r>
        <w:rPr>
          <w:rFonts w:ascii="Times New Roman" w:eastAsia="方正仿宋_GBK" w:hAnsi="Times New Roman" w:hint="eastAsia"/>
          <w:kern w:val="0"/>
          <w:sz w:val="32"/>
          <w:szCs w:val="32"/>
          <w:lang w:val="en-US" w:eastAsia="zh-CN" w:bidi="ar-SA"/>
        </w:rPr>
        <w:t>（</w:t>
      </w:r>
      <w:r>
        <w:rPr>
          <w:rFonts w:ascii="Times New Roman" w:eastAsia="方正仿宋_GBK" w:hAnsi="Times New Roman"/>
          <w:i/>
          <w:iCs/>
          <w:kern w:val="0"/>
          <w:sz w:val="32"/>
          <w:szCs w:val="32"/>
          <w:lang w:val="en-US" w:eastAsia="zh-CN" w:bidi="ar-SA"/>
        </w:rPr>
        <w:t>Ceratitis capitata</w:t>
      </w:r>
      <w:r>
        <w:rPr>
          <w:rFonts w:ascii="Times New Roman" w:eastAsia="方正仿宋_GBK" w:hAnsi="Times New Roman" w:hint="eastAsia"/>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管制区内生产或储存的输华水果</w:t>
      </w:r>
      <w:r>
        <w:rPr>
          <w:rFonts w:ascii="Times New Roman" w:eastAsia="方正仿宋_GBK" w:cs="Times New Roman" w:hAnsi="Times New Roman"/>
          <w:kern w:val="0"/>
          <w:sz w:val="32"/>
          <w:szCs w:val="32"/>
          <w:lang w:val="en-US" w:eastAsia="zh-CN" w:bidi="ar-SA"/>
        </w:rPr>
        <w:t>，包括樱桃和核果（如李子、油桃、桃、杏），</w:t>
      </w:r>
      <w:r>
        <w:rPr>
          <w:rFonts w:ascii="Times New Roman" w:eastAsia="方正仿宋_GBK" w:cs="Times New Roman" w:hAnsi="Times New Roman" w:hint="eastAsia"/>
          <w:kern w:val="0"/>
          <w:sz w:val="32"/>
          <w:szCs w:val="32"/>
          <w:lang w:val="en-US" w:eastAsia="zh-CN" w:bidi="ar-SA"/>
        </w:rPr>
        <w:t>运输到另一个管制区内的包装厂（以下称第二个管制区包装厂）包装或储存，应经</w:t>
      </w:r>
      <w:r>
        <w:rPr>
          <w:rFonts w:ascii="Times New Roman" w:eastAsia="方正仿宋_GBK" w:cs="Times New Roman" w:hAnsi="Times New Roman" w:hint="eastAsia"/>
          <w:sz w:val="32"/>
          <w:szCs w:val="32"/>
          <w:lang w:val="en-US" w:eastAsia="zh-CN" w:bidi="ar-SA"/>
        </w:rPr>
        <w:t>智利共和国</w:t>
      </w:r>
      <w:r>
        <w:rPr>
          <w:rFonts w:ascii="Times New Roman" w:eastAsia="方正仿宋_GBK" w:cs="Times New Roman" w:hAnsi="Times New Roman"/>
          <w:sz w:val="32"/>
          <w:szCs w:val="32"/>
          <w:lang w:val="en-US" w:eastAsia="zh-CN" w:bidi="ar-SA"/>
        </w:rPr>
        <w:t>农业部</w:t>
      </w:r>
      <w:r>
        <w:rPr>
          <w:rFonts w:ascii="Times New Roman" w:eastAsia="方正仿宋_GBK" w:cs="Times New Roman" w:hAnsi="Times New Roman"/>
          <w:sz w:val="32"/>
          <w:szCs w:val="32"/>
          <w:lang w:bidi="ar-SA"/>
        </w:rPr>
        <w:t>（以下称</w:t>
      </w:r>
      <w:r>
        <w:rPr>
          <w:rFonts w:ascii="Times New Roman" w:eastAsia="方正仿宋_GBK" w:cs="Times New Roman" w:hAnsi="Times New Roman" w:hint="eastAsia"/>
          <w:sz w:val="32"/>
          <w:szCs w:val="32"/>
          <w:lang w:val="en-US" w:eastAsia="zh-CN" w:bidi="ar-SA"/>
        </w:rPr>
        <w:t>智</w:t>
      </w:r>
      <w:r>
        <w:rPr>
          <w:rFonts w:ascii="Times New Roman" w:eastAsia="方正仿宋_GBK" w:cs="Times New Roman" w:hAnsi="Times New Roman" w:hint="eastAsia"/>
          <w:sz w:val="32"/>
          <w:szCs w:val="32"/>
          <w:lang w:bidi="ar-SA"/>
        </w:rPr>
        <w:t>方</w:t>
      </w:r>
      <w:r>
        <w:rPr>
          <w:rFonts w:ascii="Times New Roman" w:eastAsia="方正仿宋_GBK" w:cs="Times New Roman" w:hAnsi="Times New Roman"/>
          <w:sz w:val="32"/>
          <w:szCs w:val="32"/>
          <w:lang w:bidi="ar-SA"/>
        </w:rPr>
        <w:t>）</w:t>
      </w:r>
      <w:r>
        <w:rPr>
          <w:rFonts w:ascii="Times New Roman" w:eastAsia="方正仿宋_GBK" w:cs="Times New Roman" w:hAnsi="Times New Roman" w:hint="eastAsia"/>
          <w:kern w:val="0"/>
          <w:sz w:val="32"/>
          <w:szCs w:val="32"/>
          <w:lang w:val="en-US" w:eastAsia="zh-CN" w:bidi="ar-SA"/>
        </w:rPr>
        <w:t>授权批准。</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水果须直接从一个果园或包装厂运输到第二个管制区包装厂。</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运输工具的封闭门在运抵第二个管制区包装厂后方可打开。</w:t>
      </w:r>
    </w:p>
    <w:p>
      <w:pPr>
        <w:keepNext w:val="0"/>
        <w:keepLines w:val="0"/>
        <w:widowControl w:val="0"/>
        <w:suppressLineNumbers w:val="0"/>
        <w:adjustRightInd w:val="0"/>
        <w:snapToGrid w:val="0"/>
        <w:spacing w:line="560" w:lineRule="exact"/>
        <w:ind w:left="0" w:firstLineChars="200" w:firstLine="640"/>
        <w:rPr>
          <w:rFonts w:ascii="Times New Roman" w:eastAsia="方正仿宋_GBK" w:cs="Times New Roman" w:hAnsi="Times New Roman"/>
          <w:sz w:val="32"/>
          <w:szCs w:val="32"/>
          <w:lang w:val="en-US" w:bidi="ar-SA"/>
        </w:rPr>
      </w:pPr>
      <w:r>
        <w:rPr>
          <w:rFonts w:ascii="Times New Roman" w:eastAsia="方正仿宋_GBK" w:hAnsi="Times New Roman" w:hint="eastAsia"/>
          <w:sz w:val="32"/>
          <w:szCs w:val="32"/>
        </w:rPr>
        <w:t>接收来自另一管制区内水果的包装厂，其所在区域疫情解除时限需至少延长一个理论世代</w:t>
      </w:r>
      <w:r>
        <w:rPr>
          <w:rFonts w:ascii="Times New Roman" w:eastAsia="方正仿宋_GBK" w:cs="Times New Roman" w:hAnsi="Times New Roman" w:hint="eastAsia"/>
          <w:kern w:val="0"/>
          <w:sz w:val="32"/>
          <w:szCs w:val="32"/>
          <w:lang w:val="en-US" w:eastAsia="zh-CN" w:bidi="ar-SA"/>
        </w:rPr>
        <w:t>。即，该管制区疫情解除条件需满足完成有害生物第四个或更多理论世代的要求。新增的第四个世代，自接收供货管制区最后一批货物之日起算。</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kern w:val="2"/>
          <w:sz w:val="32"/>
          <w:szCs w:val="32"/>
          <w:lang w:val="en-US" w:bidi="ar-SA"/>
        </w:rPr>
      </w:pPr>
      <w:r>
        <w:rPr>
          <w:rFonts w:ascii="Times New Roman" w:eastAsia="方正黑体_GBK" w:cs="Times New Roman" w:hAnsi="Times New Roman" w:hint="eastAsia"/>
          <w:kern w:val="2"/>
          <w:sz w:val="32"/>
          <w:szCs w:val="32"/>
          <w:lang w:val="en-US" w:eastAsia="zh-CN" w:bidi="ar-SA"/>
        </w:rPr>
        <w:t>二、果实运输要求</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在水果运输前，果园或包装厂所在公司须事先向智方提交申请，附上相应的工作计划，且需符合智方</w:t>
      </w:r>
      <w:r>
        <w:rPr>
          <w:rFonts w:ascii="Times New Roman" w:eastAsia="方正仿宋_GBK" w:cs="Times New Roman" w:hAnsi="Times New Roman"/>
          <w:kern w:val="0"/>
          <w:sz w:val="32"/>
          <w:szCs w:val="32"/>
          <w:lang w:val="en-US" w:eastAsia="zh-CN" w:bidi="ar-SA"/>
        </w:rPr>
        <w:t>制定</w:t>
      </w:r>
      <w:r>
        <w:rPr>
          <w:rFonts w:ascii="Times New Roman" w:eastAsia="方正仿宋_GBK" w:cs="Times New Roman" w:hAnsi="Times New Roman" w:hint="eastAsia"/>
          <w:kern w:val="0"/>
          <w:sz w:val="32"/>
          <w:szCs w:val="32"/>
          <w:lang w:val="en-US" w:eastAsia="zh-CN" w:bidi="ar-SA"/>
        </w:rPr>
        <w:t>的生物安全措施。</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申请工作计划必须包括外送包装的包装厂信息</w:t>
      </w:r>
      <w:r>
        <w:rPr>
          <w:rFonts w:ascii="Times New Roman" w:eastAsia="方正仿宋_GBK" w:cs="Times New Roman" w:hAnsi="Times New Roman"/>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外送计划和外送数量（箱数和重量），以便于智方对外送水果实施监督。</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所有外送包装的水果包装箱需用带有孔径小于</w:t>
      </w:r>
      <w:r>
        <w:rPr>
          <w:rFonts w:ascii="Times New Roman" w:eastAsia="方正仿宋_GBK" w:cs="Times New Roman" w:hAnsi="Times New Roman"/>
          <w:kern w:val="0"/>
          <w:sz w:val="32"/>
          <w:szCs w:val="32"/>
          <w:lang w:val="en-US" w:eastAsia="zh-CN" w:bidi="ar-SA"/>
        </w:rPr>
        <w:t>1.6 mm</w:t>
      </w:r>
      <w:r>
        <w:rPr>
          <w:rFonts w:ascii="Times New Roman" w:eastAsia="方正仿宋_GBK" w:cs="Times New Roman" w:hAnsi="Times New Roman" w:hint="eastAsia"/>
          <w:kern w:val="0"/>
          <w:sz w:val="32"/>
          <w:szCs w:val="32"/>
          <w:lang w:val="en-US" w:eastAsia="zh-CN" w:bidi="ar-SA"/>
        </w:rPr>
        <w:t>的网袋或无孔袋罩住，且用经智方批准的密闭车直接运抵到第二个管制区包装厂。</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kern w:val="2"/>
          <w:sz w:val="32"/>
          <w:szCs w:val="32"/>
          <w:lang w:val="en-US" w:bidi="ar-SA"/>
        </w:rPr>
      </w:pPr>
      <w:r>
        <w:rPr>
          <w:rFonts w:ascii="Times New Roman" w:eastAsia="方正黑体_GBK" w:cs="Times New Roman" w:hAnsi="Times New Roman" w:hint="eastAsia"/>
          <w:kern w:val="2"/>
          <w:sz w:val="32"/>
          <w:szCs w:val="32"/>
          <w:lang w:val="en-US" w:eastAsia="zh-CN" w:bidi="ar-SA"/>
        </w:rPr>
        <w:t>三、外送包装水果的果园或包装厂要求</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外送水果每个包装箱上需附有能识别果园、品种和采摘时间等信息的标识。</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运输车司机需携带具有写明该批水果来自的果园或包装厂信息、数</w:t>
      </w:r>
      <w:r>
        <w:rPr>
          <w:rFonts w:ascii="Times New Roman" w:eastAsia="方正仿宋_GBK" w:cs="Times New Roman" w:hAnsi="Times New Roman"/>
          <w:kern w:val="0"/>
          <w:sz w:val="32"/>
          <w:szCs w:val="32"/>
          <w:lang w:val="en-US" w:eastAsia="zh-CN" w:bidi="ar-SA"/>
        </w:rPr>
        <w:t>量和</w:t>
      </w:r>
      <w:r>
        <w:rPr>
          <w:rFonts w:ascii="Times New Roman" w:eastAsia="方正仿宋_GBK" w:cs="Times New Roman" w:hAnsi="Times New Roman" w:hint="eastAsia"/>
          <w:kern w:val="0"/>
          <w:sz w:val="32"/>
          <w:szCs w:val="32"/>
          <w:lang w:val="en-US" w:eastAsia="zh-CN" w:bidi="ar-SA"/>
        </w:rPr>
        <w:t>重量以及水果种类等内容的文件，在到达之后交给第二个管制区包装厂。</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果园或包装厂需保存每批外送包装水果的记录，并在智方实施监管时能及时提供。</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kern w:val="2"/>
          <w:sz w:val="32"/>
          <w:szCs w:val="32"/>
          <w:lang w:val="en-US" w:bidi="ar-SA"/>
        </w:rPr>
      </w:pPr>
      <w:r>
        <w:rPr>
          <w:rFonts w:ascii="Times New Roman" w:eastAsia="方正黑体_GBK" w:cs="Times New Roman" w:hAnsi="Times New Roman" w:hint="eastAsia"/>
          <w:kern w:val="2"/>
          <w:sz w:val="32"/>
          <w:szCs w:val="32"/>
          <w:lang w:val="en-US" w:eastAsia="zh-CN" w:bidi="ar-SA"/>
        </w:rPr>
        <w:t>四、接收包装水果的包装厂的要求</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包装厂应将拟接收外送包装水果的包装厂信息以及相应的水果批量计划通知智方属地</w:t>
      </w:r>
      <w:r>
        <w:rPr>
          <w:rFonts w:ascii="Times New Roman" w:eastAsia="方正仿宋_GBK" w:cs="Times New Roman" w:hAnsi="Times New Roman"/>
          <w:kern w:val="0"/>
          <w:sz w:val="32"/>
          <w:szCs w:val="32"/>
          <w:lang w:val="en-US" w:eastAsia="zh-CN" w:bidi="ar-SA"/>
        </w:rPr>
        <w:t>管理部门</w:t>
      </w:r>
      <w:r>
        <w:rPr>
          <w:rFonts w:ascii="Times New Roman" w:eastAsia="方正仿宋_GBK" w:cs="Times New Roman" w:hAnsi="Times New Roman" w:hint="eastAsia"/>
          <w:kern w:val="0"/>
          <w:sz w:val="32"/>
          <w:szCs w:val="32"/>
          <w:lang w:val="en-US" w:eastAsia="zh-CN" w:bidi="ar-SA"/>
        </w:rPr>
        <w:t>，并保留收到水果的可溯源记录以备智方监管。同时，按相关协议或本</w:t>
      </w:r>
      <w:r>
        <w:rPr>
          <w:rFonts w:ascii="Times New Roman" w:eastAsia="方正仿宋_GBK" w:cs="Times New Roman" w:hAnsi="Times New Roman"/>
          <w:kern w:val="0"/>
          <w:sz w:val="32"/>
          <w:szCs w:val="32"/>
          <w:lang w:val="en-US" w:eastAsia="zh-CN" w:bidi="ar-SA"/>
        </w:rPr>
        <w:t>公告附件3</w:t>
      </w:r>
      <w:r>
        <w:rPr>
          <w:rFonts w:ascii="Times New Roman" w:eastAsia="方正仿宋_GBK" w:cs="Times New Roman" w:hAnsi="Times New Roman" w:hint="eastAsia"/>
          <w:kern w:val="0"/>
          <w:sz w:val="32"/>
          <w:szCs w:val="32"/>
          <w:lang w:val="en-US" w:eastAsia="zh-CN" w:bidi="ar-SA"/>
        </w:rPr>
        <w:t>的要求实施检疫冷处理。</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kern w:val="2"/>
          <w:sz w:val="32"/>
          <w:szCs w:val="32"/>
          <w:lang w:val="en-US" w:bidi="ar-SA"/>
        </w:rPr>
      </w:pPr>
      <w:r>
        <w:rPr>
          <w:rFonts w:ascii="Times New Roman" w:eastAsia="方正黑体_GBK" w:cs="Times New Roman" w:hAnsi="Times New Roman" w:hint="eastAsia"/>
          <w:kern w:val="2"/>
          <w:sz w:val="32"/>
          <w:szCs w:val="32"/>
          <w:lang w:val="en-US" w:eastAsia="zh-CN" w:bidi="ar-SA"/>
        </w:rPr>
        <w:t>五、智方职责</w:t>
      </w:r>
    </w:p>
    <w:p>
      <w:pPr>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智方将在包装厂周边（优先选择在实蝇寄主树上），增设</w:t>
      </w:r>
      <w:r>
        <w:rPr>
          <w:rFonts w:ascii="Times New Roman" w:eastAsia="方正仿宋_GBK" w:cs="Times New Roman" w:hAnsi="Times New Roman"/>
          <w:kern w:val="0"/>
          <w:sz w:val="32"/>
          <w:szCs w:val="32"/>
          <w:lang w:val="en-US" w:eastAsia="zh-CN" w:bidi="ar-SA"/>
        </w:rPr>
        <w:t>3</w:t>
      </w:r>
      <w:r>
        <w:rPr>
          <w:rFonts w:ascii="Times New Roman" w:eastAsia="方正仿宋_GBK" w:cs="Times New Roman" w:hAnsi="Times New Roman" w:hint="eastAsia"/>
          <w:kern w:val="0"/>
          <w:sz w:val="32"/>
          <w:szCs w:val="32"/>
          <w:lang w:val="en-US" w:eastAsia="zh-CN" w:bidi="ar-SA"/>
        </w:rPr>
        <w:t>个地中海实蝇诱芯（</w:t>
      </w:r>
      <w:r>
        <w:rPr>
          <w:rFonts w:ascii="Times New Roman" w:eastAsia="方正仿宋_GBK" w:cs="Times New Roman" w:hAnsi="Times New Roman"/>
          <w:kern w:val="0"/>
          <w:sz w:val="32"/>
          <w:szCs w:val="32"/>
          <w:lang w:val="en-US" w:eastAsia="zh-CN" w:bidi="ar-SA"/>
        </w:rPr>
        <w:t>TML</w:t>
      </w:r>
      <w:r>
        <w:rPr>
          <w:rFonts w:ascii="Times New Roman" w:eastAsia="方正仿宋_GBK" w:cs="Times New Roman" w:hAnsi="Times New Roman" w:hint="eastAsia"/>
          <w:kern w:val="0"/>
          <w:sz w:val="32"/>
          <w:szCs w:val="32"/>
          <w:lang w:val="en-US" w:eastAsia="zh-CN" w:bidi="ar-SA"/>
        </w:rPr>
        <w:t>）诱捕器，并实施监测，直至接收包装水果的包装厂所在管制区完成有害生物第四个或更多理论世代的要求。</w:t>
      </w:r>
    </w:p>
    <w:p>
      <w:pPr>
        <w:keepNext w:val="0"/>
        <w:keepLines w:val="0"/>
        <w:widowControl w:val="0"/>
        <w:suppressLineNumbers w:val="0"/>
        <w:adjustRightInd w:val="0"/>
        <w:snapToGrid w:val="0"/>
        <w:spacing w:line="560" w:lineRule="exact"/>
        <w:ind w:left="0" w:firstLineChars="200" w:firstLine="640"/>
      </w:pPr>
      <w:r>
        <w:rPr>
          <w:rFonts w:ascii="Times New Roman" w:eastAsia="方正仿宋_GBK" w:cs="Times New Roman" w:hAnsi="Times New Roman" w:hint="eastAsia"/>
          <w:kern w:val="0"/>
          <w:sz w:val="32"/>
          <w:szCs w:val="32"/>
          <w:lang w:val="en-US" w:eastAsia="zh-CN" w:bidi="ar-SA"/>
        </w:rPr>
        <w:t>此外，智方将及时查核工作计划，并对外送水果从果园</w:t>
      </w:r>
      <w:r>
        <w:rPr>
          <w:rFonts w:ascii="Times New Roman" w:eastAsia="方正仿宋_GBK" w:cs="Times New Roman" w:hAnsi="Times New Roman"/>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包装厂到包装输华的第二个管制区包装厂进行监管，以确保检疫安全。</w:t>
      </w:r>
    </w:p>
    <w:sectPr>
      <w:footerReference w:type="default" r:id="rId2"/>
      <w:footerReference w:type="even" r:id="rId3"/>
      <w:pgSz w:w="11907" w:h="16840"/>
      <w:pgMar w:top="2098" w:right="1474" w:bottom="1985" w:left="1588"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auto"/>
    <w:pitch w:val="variable"/>
    <w:sig w:usb0="E0002AFF" w:usb1="C0007841" w:usb2="00000009" w:usb3="00000000" w:csb0="400001FF" w:csb1="FFFF0000"/>
  </w:font>
  <w:font w:name="方正黑体_GBK">
    <w:panose1 w:val="02000000000000000000"/>
    <w:charset w:val="86"/>
    <w:family w:val="script"/>
    <w:pitch w:val="variable"/>
    <w:sig w:usb0="A00002BF" w:usb1="38CF7CFA" w:usb2="00082016" w:usb3="00000000" w:csb0="00040001" w:csb1="00000000"/>
  </w:font>
  <w:font w:name="方正仿宋_GBK">
    <w:panose1 w:val="02000000000000000000"/>
    <w:charset w:val="86"/>
    <w:family w:val="script"/>
    <w:pitch w:val="variable"/>
    <w:sig w:usb0="A00002BF" w:usb1="38CF7CFA" w:usb2="00082016" w:usb3="00000000" w:csb0="00040001" w:csb1="00000000"/>
  </w:font>
  <w:font w:name="方正小标宋_GBK">
    <w:panose1 w:val="03000509000000000000"/>
    <w:charset w:val="86"/>
    <w:family w:val="script"/>
    <w:pitch w:val="variable"/>
    <w:sig w:usb0="00000001" w:usb1="080E0000" w:usb2="00000000" w:usb3="00000000" w:csb0="00040000" w:csb1="00000000"/>
  </w:font>
  <w:font w:name="宋体">
    <w:altName w:val="华文宋体"/>
    <w:panose1 w:val="02010600030101010101"/>
    <w:charset w:val="86"/>
    <w:family w:val="auto"/>
    <w:pitch w:val="variable"/>
    <w:sig w:usb0="00000003" w:usb1="080E0000" w:usb2="00000000" w:usb3="00000000" w:csb0="00040001" w:csb1="00000000"/>
  </w:font>
  <w:font w:name="Calibri">
    <w:altName w:val="Times New Roman"/>
    <w:panose1 w:val="02020603050405020304"/>
    <w:charset w:val="00"/>
    <w:family w:val="auto"/>
    <w:pitch w:val="variable"/>
    <w:sig w:usb0="00007A87" w:usb1="80000000" w:usb2="00000008" w:usb3="00000000" w:csb0="400001FF" w:csb1="FFFF0000"/>
  </w:font>
  <w:font w:name="黑体">
    <w:altName w:val="方正黑体_GBK"/>
    <w:panose1 w:val="02000000000000000000"/>
    <w:charset w:val="86"/>
    <w:family w:val="script"/>
    <w:pitch w:val="variable"/>
    <w:sig w:usb0="A00002BF" w:usb1="38CF7CFA" w:usb2="00082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7"/>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7"/>
      </w:tabs>
      <w:rPr>
        <w:rFonts w:ascii="Times New Roman" w:hAnsi="Times New Roman"/>
        <w:sz w:val="24"/>
        <w:szCs w:val="24"/>
      </w:rPr>
    </w:pPr>
    <w:r>
      <w:rPr>
        <w:rStyle w:val="19Char"/>
        <w:rFonts w:ascii="Times New Roman" w:hAnsi="Times New Roman"/>
        <w:sz w:val="24"/>
        <w:szCs w:val="24"/>
      </w:rPr>
      <w:t xml:space="preserve">— </w:t>
    </w:r>
    <w:r>
      <w:rPr>
        <w:rStyle w:val="18"/>
        <w:rFonts w:ascii="Times New Roman" w:hAnsi="Times New Roman"/>
        <w:sz w:val="24"/>
        <w:szCs w:val="24"/>
      </w:rPr>
      <w:fldChar w:fldCharType="begin"/>
    </w:r>
    <w:r>
      <w:rPr>
        <w:rStyle w:val="18"/>
        <w:rFonts w:ascii="Times New Roman" w:hAnsi="Times New Roman"/>
        <w:sz w:val="24"/>
        <w:szCs w:val="24"/>
      </w:rPr>
      <w:instrText>Page</w:instrText>
    </w:r>
    <w:r>
      <w:rPr>
        <w:rStyle w:val="18"/>
        <w:rFonts w:ascii="Times New Roman" w:hAnsi="Times New Roman"/>
        <w:sz w:val="24"/>
        <w:szCs w:val="24"/>
      </w:rPr>
      <w:fldChar w:fldCharType="separate"/>
    </w:r>
    <w:r>
      <w:rPr>
        <w:rStyle w:val="18"/>
        <w:rFonts w:ascii="Times New Roman" w:hAnsi="Times New Roman"/>
        <w:sz w:val="24"/>
        <w:szCs w:val="24"/>
      </w:rPr>
      <w:t>1</w:t>
    </w:r>
    <w:r>
      <w:rPr>
        <w:rStyle w:val="18"/>
        <w:rFonts w:ascii="Times New Roman" w:hAnsi="Times New Roman"/>
        <w:sz w:val="24"/>
        <w:szCs w:val="24"/>
      </w:rPr>
      <w:fldChar w:fldCharType="end"/>
    </w:r>
    <w:r>
      <w:rPr>
        <w:rStyle w:val="18"/>
        <w:rFonts w:ascii="Times New Roman" w:hAnsi="Times New Roman"/>
        <w:sz w:val="24"/>
        <w:szCs w:val="24"/>
      </w:rPr>
      <w:t xml:space="preserve"> —</w:t>
    </w:r>
  </w:p>
  <w:p>
    <w:pPr>
      <w:pStyle w:val="17"/>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7"/>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7"/>
      </w:tabs>
    </w:pPr>
    <w:r>
      <w:rPr>
        <w:rStyle w:val="18"/>
      </w:rPr>
      <w:fldChar w:fldCharType="begin"/>
    </w:r>
    <w:r>
      <w:rPr>
        <w:rStyle w:val="18"/>
      </w:rPr>
      <w:instrText>Page</w:instrText>
    </w:r>
    <w:r>
      <w:rPr>
        <w:rStyle w:val="18"/>
      </w:rPr>
      <w:fldChar w:fldCharType="separate"/>
    </w:r>
    <w:r>
      <w:rPr>
        <w:rStyle w:val="18"/>
      </w:rPr>
      <w:t>1</w:t>
    </w:r>
    <w:r>
      <w:rPr>
        <w:rStyle w:val="18"/>
      </w:rPr>
      <w:fldChar w:fldCharType="end"/>
    </w:r>
  </w:p>
  <w:p>
    <w:pPr>
      <w:pStyle w:val="17"/>
      <w:tabs>
        <w:tab w:val="center" w:pos="4153"/>
        <w:tab w:val="right" w:pos="8307"/>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displayBackgroundShape/>
  <w:bordersDoNotSurroundHeader/>
  <w:bordersDoNotSurroundFooter/>
  <w:trackRevisions/>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样式 10 磅"/>
    <w:pPr>
      <w:widowControl w:val="0"/>
      <w:jc w:val="both"/>
    </w:pPr>
    <w:rPr>
      <w:rFonts w:ascii="Calibri" w:eastAsia="宋体" w:cs="Times New Roman" w:hAnsi="Calibri"/>
      <w:kern w:val="2"/>
      <w:sz w:val="21"/>
      <w:szCs w:val="24"/>
      <w:lang w:val="en-US" w:eastAsia="zh-CN" w:bidi="ar-SA"/>
    </w:rPr>
  </w:style>
  <w:style w:type="paragraph" w:styleId="16">
    <w:name w:val="header"/>
    <w:basedOn w:val="0"/>
    <w:pPr>
      <w:pBdr>
        <w:bottom w:val="single" w:sz="6" w:space="1" w:color="auto"/>
      </w:pBdr>
      <w:tabs>
        <w:tab w:val="center" w:pos="4153"/>
        <w:tab w:val="right" w:pos="8307"/>
      </w:tabs>
      <w:snapToGrid w:val="0"/>
      <w:jc w:val="center"/>
    </w:pPr>
    <w:rPr>
      <w:sz w:val="18"/>
      <w:szCs w:val="18"/>
    </w:rPr>
  </w:style>
  <w:style w:type="paragraph" w:styleId="17">
    <w:name w:val="footer"/>
    <w:basedOn w:val="0"/>
    <w:pPr>
      <w:tabs>
        <w:tab w:val="center" w:pos="4153"/>
        <w:tab w:val="right" w:pos="8307"/>
      </w:tabs>
      <w:snapToGrid w:val="0"/>
      <w:jc w:val="left"/>
    </w:pPr>
    <w:rPr>
      <w:sz w:val="18"/>
      <w:szCs w:val="18"/>
    </w:rPr>
  </w:style>
  <w:style w:type="character" w:styleId="18">
    <w:name w:val="page number"/>
    <w:basedOn w:val="10"/>
  </w:style>
  <w:style w:type="paragraph" w:customStyle="1" w:styleId="19">
    <w:name w:val="样式 "/>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小五"/>
    <w:pPr>
      <w:widowControl w:val="0"/>
      <w:tabs>
        <w:tab w:val="center" w:pos="4153"/>
        <w:tab w:val="right" w:pos="8307"/>
      </w:tabs>
      <w:snapToGrid w:val="0"/>
      <w:jc w:val="left"/>
    </w:pPr>
    <w:rPr>
      <w:rFonts w:ascii="Calibri" w:eastAsia="宋体" w:cs="Times New Roman" w:hAnsi="Calibri"/>
      <w:kern w:val="2"/>
      <w:sz w:val="18"/>
      <w:szCs w:val="18"/>
      <w:lang w:val="en-US" w:eastAsia="zh-CN" w:bidi="ar-SA"/>
    </w:rPr>
  </w:style>
  <w:style w:type="paragraph" w:customStyle="1" w:styleId="21">
    <w:name w:val="样式 1 10 磅"/>
    <w:pPr>
      <w:widowControl w:val="0"/>
      <w:jc w:val="both"/>
    </w:pPr>
    <w:rPr>
      <w:rFonts w:ascii="Calibri" w:eastAsia="宋体" w:cs="Times New Roman" w:hAnsi="Calibri"/>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352</TotalTime>
  <Application>Yozo_Office</Application>
  <Pages>3</Pages>
  <Words>871</Words>
  <Characters>891</Characters>
  <Lines>45</Lines>
  <Paragraphs>21</Paragraphs>
  <CharactersWithSpaces>893</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赵倩</dc:creator>
  <cp:lastModifiedBy>何可欣</cp:lastModifiedBy>
  <cp:revision>1</cp:revision>
  <dcterms:created xsi:type="dcterms:W3CDTF">2026-10-13T11:20:35Z</dcterms:created>
  <dcterms:modified xsi:type="dcterms:W3CDTF">2026-10-30T02:20:09Z</dcterms:modified>
</cp:coreProperties>
</file>