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方正小标宋简体" w:eastAsia="方正小标宋简体" w:cs="方正小标宋简体" w:hAnsi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line="579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外贸企业汇率避险奖励资金申报指南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line="579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一、奖励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在雄安新区内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登记</w:t>
      </w:r>
      <w:r>
        <w:rPr>
          <w:rFonts w:ascii="Times New Roman" w:eastAsia="仿宋_GB2312" w:cs="Times New Roman" w:hAnsi="Times New Roman"/>
          <w:sz w:val="32"/>
          <w:szCs w:val="32"/>
        </w:rPr>
        <w:t>注册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、依法纳税</w:t>
      </w:r>
      <w:r>
        <w:rPr>
          <w:rFonts w:ascii="Times New Roman" w:eastAsia="仿宋_GB2312" w:cs="Times New Roman" w:hAnsi="Times New Roman"/>
          <w:sz w:val="32"/>
          <w:szCs w:val="32"/>
        </w:rPr>
        <w:t>，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并</w:t>
      </w:r>
      <w:r>
        <w:rPr>
          <w:rFonts w:ascii="Times New Roman" w:eastAsia="仿宋_GB2312" w:cs="Times New Roman" w:hAnsi="Times New Roman"/>
          <w:sz w:val="32"/>
          <w:szCs w:val="32"/>
        </w:rPr>
        <w:t>具有独立法人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资格</w:t>
      </w:r>
      <w:r>
        <w:rPr>
          <w:rFonts w:ascii="Times New Roman" w:eastAsia="仿宋_GB2312" w:cs="Times New Roman" w:hAnsi="Times New Roman"/>
          <w:sz w:val="32"/>
          <w:szCs w:val="32"/>
        </w:rPr>
        <w:t>的外贸企业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二、申报事项、条件和材料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  <w:t>申报事项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1.对</w:t>
      </w:r>
      <w:r>
        <w:rPr>
          <w:rFonts w:ascii="Times New Roman" w:eastAsia="仿宋_GB2312" w:cs="Times New Roman" w:hAnsi="Times New Roman"/>
          <w:sz w:val="32"/>
          <w:szCs w:val="32"/>
        </w:rPr>
        <w:t>办理汇率避险业务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的</w:t>
      </w:r>
      <w:r>
        <w:rPr>
          <w:rFonts w:ascii="Times New Roman" w:eastAsia="仿宋_GB2312" w:cs="Times New Roman" w:hAnsi="Times New Roman"/>
          <w:sz w:val="32"/>
          <w:szCs w:val="32"/>
        </w:rPr>
        <w:t>企业（包括首办户），按照履约额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的一定比例</w:t>
      </w:r>
      <w:r>
        <w:rPr>
          <w:rFonts w:ascii="Times New Roman" w:eastAsia="仿宋_GB2312" w:cs="Times New Roman" w:hAnsi="Times New Roman"/>
          <w:sz w:val="32"/>
          <w:szCs w:val="32"/>
        </w:rPr>
        <w:t>进行补贴，每家企业每年不超过15万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人民币</w:t>
      </w:r>
      <w:r>
        <w:rPr>
          <w:rFonts w:ascii="Times New Roman" w:eastAsia="仿宋_GB2312" w:cs="Times New Roman" w:hAnsi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2.</w:t>
      </w:r>
      <w:r>
        <w:rPr>
          <w:rFonts w:ascii="Times New Roman" w:eastAsia="仿宋_GB2312" w:cs="Times New Roman" w:hAnsi="Times New Roman"/>
          <w:sz w:val="32"/>
          <w:szCs w:val="32"/>
        </w:rPr>
        <w:t>在雄安新区首次办理汇率避险业务，签约额超过1万美元的“首办户”企业，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额外给予</w:t>
      </w:r>
      <w:r>
        <w:rPr>
          <w:rFonts w:ascii="Times New Roman" w:eastAsia="仿宋_GB2312" w:cs="Times New Roman" w:hAnsi="Times New Roman"/>
          <w:sz w:val="32"/>
          <w:szCs w:val="32"/>
        </w:rPr>
        <w:t>每家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资金支持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1.</w:t>
      </w:r>
      <w:r>
        <w:rPr>
          <w:rFonts w:ascii="Times New Roman" w:eastAsia="仿宋_GB2312" w:cs="Times New Roman" w:hAnsi="Times New Roman"/>
          <w:sz w:val="32"/>
          <w:szCs w:val="32"/>
        </w:rPr>
        <w:t>申请企业须具备以下条件：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以实际需求为原则，有进出口贸易的真实交易背景；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资信良好，无不良信用记录；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货物贸易项下企业应为外汇管理名录登记的A类企业；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在雄安新区内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登记</w:t>
      </w:r>
      <w:r>
        <w:rPr>
          <w:rFonts w:ascii="Times New Roman" w:eastAsia="仿宋_GB2312" w:cs="Times New Roman" w:hAnsi="Times New Roman"/>
          <w:sz w:val="32"/>
          <w:szCs w:val="32"/>
        </w:rPr>
        <w:t>注册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、依法纳税</w:t>
      </w:r>
      <w:r>
        <w:rPr>
          <w:rFonts w:ascii="Times New Roman" w:eastAsia="仿宋_GB2312" w:cs="Times New Roman" w:hAnsi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2.</w:t>
      </w:r>
      <w:r>
        <w:rPr>
          <w:rFonts w:ascii="Times New Roman" w:eastAsia="仿宋_GB2312" w:cs="Times New Roman" w:hAnsi="Times New Roman"/>
          <w:sz w:val="32"/>
          <w:szCs w:val="32"/>
        </w:rPr>
        <w:t>承办银行机构须具备以下条件：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具备人民币与外汇衍生品业务资格；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具有专门的汇率避险产品和专业服务团队，能够为企业提供优质的汇率避险业务；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上年度外汇业务合规与审慎经营评估评级为“B”及以上的银行及其分支机构；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近两年无违反外汇管理规定记录。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1.外贸企业汇率避险业务奖励资金申请表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（附表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2-1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2.汇率避险业务成交确认书/交易证实书；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3.汇率避险业务履约（交割）回单；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4.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企业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营业执照复印件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并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5.企业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是否享受其他相关政策支持情况说明；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6.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按照要求提供其他能够证明业务真实性资料。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sectPr>
          <w:pgSz w:w="11906" w:h="16838"/>
          <w:pgMar w:top="2098" w:right="1474" w:bottom="1134" w:left="1587" w:header="851" w:footer="992" w:gutter="0"/>
          <w:pgNumType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附表2-1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bCs/>
          <w:sz w:val="36"/>
          <w:szCs w:val="36"/>
        </w:rPr>
      </w:pPr>
      <w:r>
        <w:rPr>
          <w:rFonts w:ascii="Times New Roman" w:eastAsia="方正小标宋简体" w:cs="Times New Roman" w:hAnsi="Times New Roman"/>
          <w:bCs/>
          <w:sz w:val="36"/>
          <w:szCs w:val="36"/>
        </w:rPr>
        <w:t>外贸企业汇率避险业务奖励资金申请表</w:t>
      </w:r>
    </w:p>
    <w:p>
      <w:pPr>
        <w:spacing w:line="560" w:lineRule="exact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 w:hint="eastAsia"/>
          <w:sz w:val="28"/>
          <w:szCs w:val="28"/>
        </w:rPr>
        <w:t>法定代表人或委托人：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                                          </w:t>
      </w:r>
      <w:r>
        <w:rPr>
          <w:rFonts w:ascii="Times New Roman" w:cs="Times New Roman" w:hAnsi="Times New Roman" w:hint="eastAsia"/>
          <w:sz w:val="24"/>
        </w:rPr>
        <w:t xml:space="preserve">            </w:t>
      </w: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报送日期：    年   月   日</w:t>
      </w:r>
    </w:p>
    <w:tbl>
      <w:tblPr>
        <w:jc w:val="center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1"/>
        <w:gridCol w:w="1843"/>
        <w:gridCol w:w="1624"/>
        <w:gridCol w:w="1857"/>
        <w:gridCol w:w="2024"/>
        <w:gridCol w:w="1967"/>
        <w:gridCol w:w="1967"/>
      </w:tblGrid>
      <w:tr>
        <w:trPr>
          <w:trHeight w:val="1097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企业名称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收款账号及开户行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产品种类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交易日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签约期限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履约金额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（万美元）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合作银行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Cs/>
                <w:sz w:val="28"/>
                <w:szCs w:val="28"/>
              </w:rPr>
              <w:t>备注</w:t>
            </w:r>
          </w:p>
        </w:tc>
      </w:tr>
      <w:tr>
        <w:trPr>
          <w:trHeight w:val="77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77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77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77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eastAsia="仿宋_GB2312" w:cs="Times New Roman" w:hAnsi="Times New Roman"/>
          <w:b/>
          <w:sz w:val="24"/>
          <w:szCs w:val="32"/>
        </w:rPr>
      </w:pPr>
      <w:r>
        <w:rPr>
          <w:rFonts w:ascii="Times New Roman" w:eastAsia="仿宋_GB2312" w:cs="Times New Roman" w:hAnsi="Times New Roman"/>
          <w:bCs/>
          <w:sz w:val="24"/>
          <w:szCs w:val="32"/>
        </w:rPr>
        <w:t>说明：</w:t>
      </w:r>
      <w:r>
        <w:rPr>
          <w:rFonts w:ascii="Times New Roman" w:eastAsia="仿宋_GB2312" w:cs="Times New Roman" w:hAnsi="Times New Roman" w:hint="eastAsia"/>
          <w:bCs/>
          <w:sz w:val="24"/>
          <w:szCs w:val="32"/>
        </w:rPr>
        <w:t>1.企业</w:t>
      </w:r>
      <w:r>
        <w:rPr>
          <w:rFonts w:ascii="Times New Roman" w:eastAsia="仿宋_GB2312" w:cs="Times New Roman" w:hAnsi="Times New Roman"/>
          <w:bCs/>
          <w:sz w:val="24"/>
          <w:szCs w:val="32"/>
        </w:rPr>
        <w:t>名称应加盖</w:t>
      </w:r>
      <w:r>
        <w:rPr>
          <w:rFonts w:ascii="Times New Roman" w:eastAsia="仿宋_GB2312" w:cs="Times New Roman" w:hAnsi="Times New Roman" w:hint="eastAsia"/>
          <w:bCs/>
          <w:sz w:val="24"/>
          <w:szCs w:val="32"/>
        </w:rPr>
        <w:t>公章</w:t>
      </w:r>
      <w:r>
        <w:rPr>
          <w:rFonts w:ascii="Times New Roman" w:eastAsia="仿宋_GB2312" w:cs="Times New Roman" w:hAnsi="Times New Roman"/>
          <w:bCs/>
          <w:sz w:val="24"/>
          <w:szCs w:val="32"/>
        </w:rPr>
        <w:t>。</w:t>
      </w:r>
      <w:r>
        <w:rPr>
          <w:rFonts w:ascii="Times New Roman" w:eastAsia="仿宋_GB2312" w:cs="Times New Roman" w:hAnsi="Times New Roman" w:hint="eastAsia"/>
          <w:bCs/>
          <w:sz w:val="24"/>
          <w:szCs w:val="32"/>
        </w:rPr>
        <w:t>2</w:t>
      </w:r>
      <w:r>
        <w:rPr>
          <w:rFonts w:ascii="Times New Roman" w:eastAsia="仿宋_GB2312" w:cs="Times New Roman" w:hAnsi="Times New Roman"/>
          <w:bCs/>
          <w:sz w:val="24"/>
          <w:szCs w:val="32"/>
        </w:rPr>
        <w:t>.收款账号及开户行需填写奖励资金收款账号及开户行。</w:t>
      </w:r>
    </w:p>
    <w:p>
      <w:pPr>
        <w:pStyle w:val="90"/>
        <w:rPr>
          <w:rFonts w:hint="eastAsia"/>
          <w:lang w:val="en-US" w:eastAsia="zh-CN"/>
        </w:rPr>
      </w:pPr>
    </w:p>
    <w:p/>
    <w:sectPr>
      <w:pgSz w:w="16838" w:h="11906" w:orient="landscape"/>
      <w:pgMar w:top="1587" w:right="2098" w:bottom="1474" w:left="113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Droid Sans Fallback">
    <w:panose1 w:val="020B0502000000000001"/>
    <w:charset w:val="86"/>
    <w:family w:val="auto"/>
    <w:pitch w:val="variable"/>
    <w:sig w:usb0="910002FF" w:usb1="2BDFFCFB" w:usb2="00000036" w:usb3="00000000" w:csb0="203F01FF" w:csb1="D7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left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0">
    <w:name w:val="Plain Text"/>
    <w:basedOn w:val="0"/>
    <w:next w:val="16"/>
    <w:pPr>
      <w:widowControl w:val="0"/>
      <w:jc w:val="both"/>
    </w:pPr>
    <w:rPr>
      <w:rFonts w:ascii="宋体" w:eastAsia="宋体" w:cs="Courier New" w:hAnsi="Courier New"/>
      <w:kern w:val="2"/>
      <w:sz w:val="21"/>
      <w:szCs w:val="21"/>
      <w:lang w:val="en-US" w:eastAsia="zh-CN" w:bidi="ar-SA"/>
    </w:rPr>
  </w:style>
  <w:style w:type="paragraph" w:customStyle="1" w:styleId="133">
    <w:name w:val="标准格式"/>
    <w:basedOn w:val="0"/>
    <w:pPr>
      <w:spacing w:line="600" w:lineRule="exact"/>
    </w:pPr>
    <w:rPr>
      <w:rFonts w:ascii="Droid Sans Fallback" w:eastAsia="仿宋_GB2312" w:cs="仿宋_GB2312" w:hAnsi="Droid Sans Fallback"/>
      <w:sz w:val="32"/>
      <w:szCs w:val="32"/>
    </w:rPr>
  </w:style>
  <w:style w:type="paragraph" w:customStyle="1" w:styleId="134">
    <w:name w:val="英文格式"/>
    <w:basedOn w:val="0"/>
    <w:pPr>
      <w:spacing w:before="240" w:after="240"/>
      <w:jc w:val="left"/>
    </w:pPr>
    <w:rPr>
      <w:rFonts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F87FE0E-BF4A-486C-B14C-779D9FE053F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0</Words>
  <Characters>612</Characters>
  <Lines>0</Lines>
  <Paragraphs>36</Paragraphs>
  <CharactersWithSpaces>817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2025-03-03T03:41:15Z</dcterms:created>
  <dcterms:modified xsi:type="dcterms:W3CDTF">2025-03-03T03:41:40Z</dcterms:modified>
</cp:coreProperties>
</file>