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方正小标宋简体" w:eastAsia="方正小标宋简体" w:cs="方正小标宋简体" w:hAnsi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9" w:line="579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跨境人民币结算奖励资金申报指南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9" w:line="579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一、奖励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highlight w:val="yellow"/>
        </w:rPr>
      </w:pP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在雄安自由贸易试验区内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登记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注册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具有独立法人的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跨境收支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企业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二、申报事项、条件和材料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  <w:t>申报事项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对办理货物贸易、服务贸易、跨境直接投资（不含资金池业务）三类业务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中使用跨境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人民币结算的自贸区内企业，按照结算总量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的一定比例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给予奖励，每家企业年度奖励金额最高不超过50万元。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（二）申报条件</w:t>
      </w:r>
    </w:p>
    <w:p>
      <w:pPr>
        <w:pStyle w:val="1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</w:pPr>
      <w:r>
        <w:rPr>
          <w:rFonts w:ascii="Times New Roman" w:eastAsia="仿宋_GB2312" w:cs="Times New Roman" w:hAnsi="Times New Roman"/>
          <w:lang w:val="en-US" w:eastAsia="zh-CN"/>
          <w:highlight w:val="auto"/>
        </w:rPr>
        <w:t>1</w:t>
      </w:r>
      <w:r>
        <w:rPr>
          <w:rFonts w:ascii="Times New Roman" w:eastAsia="仿宋_GB2312" w:cs="Times New Roman" w:hAnsi="Times New Roman"/>
          <w:highlight w:val="auto"/>
        </w:rPr>
        <w:t>.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办理</w:t>
      </w:r>
      <w:r>
        <w:rPr>
          <w:rFonts w:ascii="Times New Roman" w:eastAsia="仿宋_GB2312" w:cs="Times New Roman" w:hAnsi="Times New Roman"/>
          <w:b w:val="0"/>
          <w:bCs w:val="0"/>
          <w:kern w:val="0"/>
          <w:sz w:val="32"/>
          <w:szCs w:val="32"/>
          <w:lang w:val="en-US" w:eastAsia="zh-CN" w:bidi="ar-SA"/>
          <w:highlight w:val="auto"/>
        </w:rPr>
        <w:t>货物贸易、服务贸易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、跨境直接投资（不含资金池业务）三类业务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，且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跨境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人民币结算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业务发生在2024年度；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</w:pP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2.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在雄安自由贸易试验区内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登记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注册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具有独立法人的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跨境收支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企业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；</w:t>
      </w:r>
    </w:p>
    <w:p>
      <w:pPr>
        <w:pStyle w:val="1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lang w:val="en-US" w:eastAsia="zh-CN"/>
          <w:highlight w:val="auto"/>
        </w:rPr>
        <w:t>3.</w:t>
      </w:r>
      <w:r>
        <w:rPr>
          <w:rFonts w:ascii="Times New Roman" w:eastAsia="仿宋_GB2312" w:cs="Times New Roman" w:hAnsi="Times New Roman"/>
          <w:highlight w:val="auto"/>
        </w:rPr>
        <w:t>企业有运作良好的内控管理机制，能够自行妥善留存跨境人民币业务相关交易单证等真实性证明资料，并愿意配合经办银行、</w:t>
      </w:r>
      <w:r>
        <w:rPr>
          <w:rFonts w:ascii="Times New Roman" w:eastAsia="仿宋_GB2312" w:cs="Times New Roman" w:hAnsi="Times New Roman"/>
          <w:lang w:eastAsia="zh-CN"/>
          <w:highlight w:val="auto"/>
        </w:rPr>
        <w:t>外汇局</w:t>
      </w:r>
      <w:r>
        <w:rPr>
          <w:rFonts w:ascii="Times New Roman" w:eastAsia="仿宋_GB2312" w:cs="Times New Roman" w:hAnsi="Times New Roman"/>
          <w:highlight w:val="auto"/>
        </w:rPr>
        <w:t>的事中事后抽查、核实工作</w:t>
      </w:r>
      <w:r>
        <w:rPr>
          <w:rFonts w:ascii="Times New Roman" w:eastAsia="仿宋_GB2312" w:cs="Times New Roman" w:hAnsi="Times New Roman" w:hint="eastAsia"/>
          <w:lang w:eastAsia="zh-CN"/>
          <w:highlight w:val="auto"/>
        </w:rPr>
        <w:t>；</w:t>
      </w:r>
    </w:p>
    <w:p>
      <w:pPr>
        <w:pStyle w:val="1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highlight w:val="auto"/>
        </w:rPr>
      </w:pPr>
      <w:r>
        <w:rPr>
          <w:rFonts w:ascii="Times New Roman" w:eastAsia="仿宋_GB2312" w:cs="Times New Roman" w:hAnsi="Times New Roman" w:hint="eastAsia"/>
          <w:lang w:val="en-US" w:eastAsia="zh-CN"/>
          <w:highlight w:val="auto"/>
        </w:rPr>
        <w:t>4.</w:t>
      </w:r>
      <w:r>
        <w:rPr>
          <w:rFonts w:ascii="Times New Roman" w:eastAsia="仿宋_GB2312" w:cs="Times New Roman" w:hAnsi="Times New Roman"/>
          <w:highlight w:val="auto"/>
        </w:rPr>
        <w:t>守法自律，近</w:t>
      </w:r>
      <w:r>
        <w:rPr>
          <w:rFonts w:ascii="Times New Roman" w:eastAsia="仿宋_GB2312" w:cs="Times New Roman" w:hAnsi="Times New Roman"/>
          <w:lang w:val="en-US" w:eastAsia="zh-CN"/>
          <w:highlight w:val="auto"/>
        </w:rPr>
        <w:t>两</w:t>
      </w:r>
      <w:r>
        <w:rPr>
          <w:rFonts w:ascii="Times New Roman" w:eastAsia="仿宋_GB2312" w:cs="Times New Roman" w:hAnsi="Times New Roman"/>
          <w:highlight w:val="auto"/>
        </w:rPr>
        <w:t>年无实质性违反或故意规避跨境人民币管理规定、外汇管理法规、国家“三反”规定等法律、法规的情形；</w:t>
      </w:r>
    </w:p>
    <w:p>
      <w:pPr>
        <w:pStyle w:val="1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highlight w:val="auto"/>
        </w:rPr>
      </w:pPr>
      <w:r>
        <w:rPr>
          <w:rFonts w:ascii="Times New Roman" w:eastAsia="仿宋_GB2312" w:cs="Times New Roman" w:hAnsi="Times New Roman" w:hint="eastAsia"/>
          <w:lang w:val="en-US" w:eastAsia="zh-CN"/>
          <w:highlight w:val="auto"/>
        </w:rPr>
        <w:t>5.</w:t>
      </w:r>
      <w:r>
        <w:rPr>
          <w:rFonts w:ascii="Times New Roman" w:eastAsia="仿宋_GB2312" w:cs="Times New Roman" w:hAnsi="Times New Roman"/>
          <w:highlight w:val="auto"/>
        </w:rPr>
        <w:t>未被纳入跨境人民币</w:t>
      </w:r>
      <w:r>
        <w:rPr>
          <w:rFonts w:ascii="Times New Roman" w:eastAsia="仿宋_GB2312" w:cs="Times New Roman" w:hAnsi="Times New Roman"/>
          <w:color w:val="auto"/>
          <w:highlight w:val="auto"/>
        </w:rPr>
        <w:t>业务重点监管</w:t>
      </w:r>
      <w:r>
        <w:rPr>
          <w:rFonts w:ascii="Times New Roman" w:eastAsia="仿宋_GB2312" w:cs="Times New Roman" w:hAnsi="Times New Roman"/>
          <w:color w:val="auto"/>
          <w:lang w:eastAsia="zh-CN"/>
          <w:highlight w:val="auto"/>
        </w:rPr>
        <w:t>企业</w:t>
      </w:r>
      <w:r>
        <w:rPr>
          <w:rFonts w:ascii="Times New Roman" w:eastAsia="仿宋_GB2312" w:cs="Times New Roman" w:hAnsi="Times New Roman"/>
          <w:color w:val="auto"/>
          <w:highlight w:val="auto"/>
        </w:rPr>
        <w:t>名单和货</w:t>
      </w:r>
      <w:r>
        <w:rPr>
          <w:rFonts w:ascii="Times New Roman" w:eastAsia="仿宋_GB2312" w:cs="Times New Roman" w:hAnsi="Times New Roman"/>
          <w:highlight w:val="auto"/>
        </w:rPr>
        <w:t>物贸易外汇管理B、C类企业；</w:t>
      </w:r>
    </w:p>
    <w:p>
      <w:pPr>
        <w:pStyle w:val="1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lang w:val="en-US" w:eastAsia="zh-CN"/>
          <w:highlight w:val="auto"/>
        </w:rPr>
        <w:t>6.</w:t>
      </w:r>
      <w:r>
        <w:rPr>
          <w:rFonts w:ascii="Times New Roman" w:eastAsia="仿宋_GB2312" w:cs="Times New Roman" w:hAnsi="Times New Roman"/>
          <w:highlight w:val="auto"/>
        </w:rPr>
        <w:t>未涉嫌大规模跨境投机套利活动</w:t>
      </w:r>
      <w:r>
        <w:rPr>
          <w:rFonts w:ascii="Times New Roman" w:eastAsia="仿宋_GB2312" w:cs="Times New Roman" w:hAnsi="Times New Roman" w:hint="eastAsia"/>
          <w:lang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1.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跨境人民币奖补资金申请表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（附表1-1）；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2.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上一个年度跨境人民币结算业务明细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表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（附表1-2）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3.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企业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营业执照复印件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并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4.企业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  <w:highlight w:val="auto"/>
        </w:rPr>
        <w:t>是否享受其他相关政策支持情况说明；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b/>
          <w:bCs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5.发生结算业务对应的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货物贸易、服务贸易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合同复印件，或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  <w:highlight w:val="auto"/>
        </w:rPr>
        <w:t>跨境直接投资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  <w:highlight w:val="auto"/>
        </w:rPr>
        <w:t>业务登记凭证复印件及银行汇款凭证复印件；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6.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按照要求提供其他能够证明业务真实性资料。</w:t>
      </w:r>
    </w:p>
    <w:p>
      <w:pPr>
        <w:spacing w:line="560" w:lineRule="exact"/>
        <w:jc w:val="left"/>
        <w:rPr>
          <w:rFonts w:eastAsia="宋体"/>
          <w:lang w:val="en-US" w:eastAsia="zh-CN"/>
        </w:rPr>
      </w:pPr>
      <w:r>
        <w:br w:type="page"/>
      </w: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附表1-1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36"/>
          <w:szCs w:val="36"/>
          <w:highlight w:val="auto"/>
        </w:rPr>
      </w:pPr>
      <w:r>
        <w:rPr>
          <w:rFonts w:ascii="Times New Roman" w:eastAsia="方正小标宋简体" w:cs="Times New Roman" w:hAnsi="Times New Roman"/>
          <w:sz w:val="36"/>
          <w:szCs w:val="36"/>
          <w:highlight w:val="auto"/>
        </w:rPr>
        <w:t>跨境人民币奖补资金申请表</w:t>
      </w:r>
    </w:p>
    <w:tbl>
      <w:tblPr>
        <w:jc w:val="left"/>
        <w:tblInd w:w="0" w:type="dxa"/>
        <w:tblW w:w="8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1914"/>
        <w:gridCol w:w="1792"/>
        <w:gridCol w:w="2229"/>
      </w:tblGrid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申报项目名称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企业名称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企业地址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kern w:val="0"/>
                <w:sz w:val="28"/>
                <w:szCs w:val="28"/>
                <w:lang w:eastAsia="zh-CN"/>
                <w:highlight w:val="auto"/>
              </w:rPr>
              <w:t>是否注册在自贸区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kern w:val="0"/>
                <w:sz w:val="28"/>
                <w:szCs w:val="28"/>
                <w:lang w:eastAsia="zh-CN"/>
                <w:highlight w:val="auto"/>
              </w:rPr>
              <w:t>申报奖补金额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000000"/>
                <w:kern w:val="0"/>
                <w:sz w:val="28"/>
                <w:szCs w:val="28"/>
                <w:lang w:eastAsia="zh-CN"/>
                <w:highlight w:val="auto"/>
              </w:rPr>
              <w:t>开户银行名称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开户银行账号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联系人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联系电话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75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经营范围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462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申请背景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介绍公司背景、设立情况、目前经营情况（是否存在违规情况等）</w:t>
            </w:r>
          </w:p>
        </w:tc>
      </w:tr>
      <w:tr>
        <w:trPr>
          <w:trHeight w:val="3155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ascii="Times New Roman" w:eastAsia="宋体" w:cs="Times New Roman" w:hAnsi="Times New Roman"/>
                <w:sz w:val="24"/>
                <w:highlight w:val="auto"/>
              </w:rPr>
            </w:pPr>
          </w:p>
          <w:p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Style w:val="136"/>
              </w:rPr>
            </w:pPr>
            <w:r>
              <w:rPr>
                <w:rStyle w:val="136"/>
                <w:rFonts w:ascii="Times New Roman" w:eastAsia="仿宋_GB2312" w:cs="Times New Roman" w:hAnsi="Times New Roman" w:hint="eastAsia"/>
                <w:lang w:val="en-US" w:eastAsia="zh-CN"/>
                <w:highlight w:val="auto"/>
              </w:rPr>
              <w:t xml:space="preserve">                       </w:t>
            </w:r>
            <w:r>
              <w:rPr>
                <w:rStyle w:val="136"/>
                <w:rFonts w:ascii="Times New Roman" w:cs="Times New Roman" w:hAnsi="Times New Roman"/>
                <w:highlight w:val="auto"/>
              </w:rPr>
              <w:t>法定代表人</w:t>
            </w:r>
            <w:r>
              <w:rPr>
                <w:rStyle w:val="136"/>
                <w:rFonts w:ascii="Times New Roman" w:eastAsia="仿宋_GB2312" w:cs="Times New Roman" w:hAnsi="Times New Roman" w:hint="eastAsia"/>
                <w:lang w:eastAsia="zh-CN"/>
                <w:highlight w:val="auto"/>
              </w:rPr>
              <w:t>或委托人</w:t>
            </w:r>
            <w:r>
              <w:rPr>
                <w:rStyle w:val="136"/>
                <w:rFonts w:ascii="Times New Roman" w:cs="Times New Roman" w:hAnsi="Times New Roman"/>
                <w:highlight w:val="auto"/>
              </w:rPr>
              <w:t>签字：</w:t>
            </w:r>
          </w:p>
          <w:p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Style w:val="136"/>
                <w:rFonts w:ascii="Times New Roman" w:cs="Times New Roman" w:hAnsi="Times New Roman"/>
                <w:highlight w:val="auto"/>
              </w:rPr>
            </w:pPr>
            <w:r>
              <w:rPr>
                <w:rStyle w:val="136"/>
                <w:rFonts w:ascii="Times New Roman" w:eastAsia="仿宋_GB2312" w:cs="Times New Roman" w:hAnsi="Times New Roman" w:hint="eastAsia"/>
                <w:lang w:val="en-US" w:eastAsia="zh-CN"/>
                <w:highlight w:val="auto"/>
              </w:rPr>
              <w:t xml:space="preserve">                                     </w:t>
            </w:r>
            <w:r>
              <w:rPr>
                <w:rStyle w:val="136"/>
                <w:rFonts w:ascii="Times New Roman" w:cs="Times New Roman" w:hAnsi="Times New Roman"/>
                <w:highlight w:val="auto"/>
              </w:rPr>
              <w:t xml:space="preserve">单位盖章： </w:t>
            </w:r>
          </w:p>
          <w:p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ascii="Times New Roman" w:eastAsia="宋体" w:cs="Times New Roman" w:hAnsi="Times New Roman"/>
                <w:sz w:val="24"/>
                <w:highlight w:val="auto"/>
              </w:rPr>
            </w:pPr>
            <w:r>
              <w:rPr>
                <w:rStyle w:val="136"/>
                <w:rFonts w:ascii="Times New Roman" w:eastAsia="仿宋_GB2312" w:cs="Times New Roman" w:hAnsi="Times New Roman" w:hint="eastAsia"/>
                <w:lang w:val="en-US" w:eastAsia="zh-CN"/>
                <w:highlight w:val="auto"/>
              </w:rPr>
              <w:t xml:space="preserve">                                     </w:t>
            </w:r>
            <w:r>
              <w:rPr>
                <w:rStyle w:val="136"/>
                <w:rFonts w:ascii="Times New Roman" w:cs="Times New Roman" w:hAnsi="Times New Roman"/>
                <w:highlight w:val="auto"/>
              </w:rPr>
              <w:t xml:space="preserve">签字日期：                                                  </w:t>
            </w:r>
          </w:p>
        </w:tc>
      </w:tr>
    </w:tbl>
    <w:p>
      <w:pPr>
        <w:spacing w:beforeLines="100" w:before="319" w:afterLines="100" w:after="319" w:line="560" w:lineRule="exact"/>
        <w:jc w:val="both"/>
        <w:rPr>
          <w:rFonts w:ascii="Times New Roman" w:eastAsia="方正小标宋简体" w:cs="Times New Roman" w:hAnsi="Times New Roman"/>
          <w:sz w:val="36"/>
          <w:szCs w:val="36"/>
          <w:highlight w:val="auto"/>
        </w:rPr>
        <w:sectPr>
          <w:pgSz w:w="11906" w:h="16838"/>
          <w:pgMar w:top="1440" w:right="1803" w:bottom="1440" w:left="1803" w:header="851" w:footer="992" w:gutter="0"/>
          <w:pgNumType/>
          <w:docGrid w:type="lines" w:linePitch="319" w:charSpace="0"/>
        </w:sectPr>
      </w:pPr>
    </w:p>
    <w:p>
      <w:pPr>
        <w:spacing w:beforeLines="100" w:before="312" w:afterLines="100" w:after="312" w:line="560" w:lineRule="exact"/>
        <w:jc w:val="left"/>
        <w:rPr>
          <w:rFonts w:ascii="Times New Roman" w:eastAsia="方正小标宋简体" w:cs="Times New Roman" w:hAnsi="Times New Roman"/>
          <w:sz w:val="36"/>
          <w:szCs w:val="36"/>
          <w:highlight w:val="auto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附表1-2</w:t>
      </w:r>
    </w:p>
    <w:p>
      <w:pPr>
        <w:spacing w:beforeLines="100" w:before="312" w:afterLines="100" w:after="312" w:line="560" w:lineRule="exact"/>
        <w:jc w:val="center"/>
        <w:rPr>
          <w:rFonts w:ascii="Times New Roman" w:eastAsia="方正小标宋简体" w:cs="Times New Roman" w:hAnsi="Times New Roman"/>
          <w:sz w:val="36"/>
          <w:szCs w:val="36"/>
          <w:highlight w:val="auto"/>
        </w:rPr>
      </w:pPr>
      <w:r>
        <w:rPr>
          <w:rFonts w:ascii="Times New Roman" w:eastAsia="方正小标宋简体" w:cs="Times New Roman" w:hAnsi="Times New Roman"/>
          <w:sz w:val="36"/>
          <w:szCs w:val="36"/>
          <w:highlight w:val="auto"/>
        </w:rPr>
        <w:t>跨境人民币结算业务明细表</w:t>
      </w:r>
    </w:p>
    <w:tbl>
      <w:tblPr>
        <w:jc w:val="left"/>
        <w:tblInd w:w="0" w:type="dxa"/>
        <w:tblW w:w="14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7"/>
        <w:gridCol w:w="1504"/>
        <w:gridCol w:w="2243"/>
        <w:gridCol w:w="1560"/>
        <w:gridCol w:w="2055"/>
        <w:gridCol w:w="1846"/>
        <w:gridCol w:w="2289"/>
      </w:tblGrid>
      <w:tr>
        <w:trPr>
          <w:trHeight w:val="48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企业名称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企业组织机构代码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申报号码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金额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经办银行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交易日期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highlight w:val="auto"/>
              </w:rPr>
              <w:t>备注</w:t>
            </w: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  <w:tr>
        <w:trPr>
          <w:trHeight w:val="28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highlight w:val="auto"/>
              </w:rPr>
            </w:pPr>
          </w:p>
        </w:tc>
      </w:tr>
    </w:tbl>
    <w:p/>
    <w:p>
      <w:pPr>
        <w:pStyle w:val="90"/>
        <w:sectPr>
          <w:pgSz w:w="16838" w:h="11906" w:orient="landscape"/>
          <w:pgMar w:top="1587" w:right="2098" w:bottom="1474" w:left="1134" w:header="851" w:footer="992" w:gutter="0"/>
          <w:pgNumType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Droid Sans Fallback">
    <w:panose1 w:val="020B0502000000000001"/>
    <w:charset w:val="86"/>
    <w:family w:val="auto"/>
    <w:pitch w:val="variable"/>
    <w:sig w:usb0="910002FF" w:usb1="2BDFFCFB" w:usb2="00000036" w:usb3="00000000" w:csb0="203F01FF" w:csb1="D7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left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9">
    <w:name w:val="index 9"/>
    <w:basedOn w:val="0"/>
    <w:autoRedefine/>
    <w:next w:val="0"/>
    <w:pPr>
      <w:ind w:left="3360"/>
    </w:pPr>
  </w:style>
  <w:style w:type="paragraph" w:styleId="20">
    <w:name w:val="toc 1"/>
    <w:basedOn w:val="0"/>
    <w:autoRedefine/>
    <w:next w:val="0"/>
  </w:style>
  <w:style w:type="paragraph" w:styleId="90">
    <w:name w:val="Plain Text"/>
    <w:basedOn w:val="0"/>
    <w:next w:val="16"/>
    <w:pPr>
      <w:widowControl w:val="0"/>
      <w:jc w:val="both"/>
    </w:pPr>
    <w:rPr>
      <w:rFonts w:ascii="宋体" w:eastAsia="宋体" w:cs="Courier New" w:hAnsi="Courier New"/>
      <w:kern w:val="2"/>
      <w:sz w:val="21"/>
      <w:szCs w:val="21"/>
      <w:lang w:val="en-US" w:eastAsia="zh-CN" w:bidi="ar-SA"/>
    </w:rPr>
  </w:style>
  <w:style w:type="paragraph" w:customStyle="1" w:styleId="133">
    <w:name w:val="标准格式"/>
    <w:basedOn w:val="0"/>
    <w:pPr>
      <w:spacing w:line="600" w:lineRule="exact"/>
    </w:pPr>
    <w:rPr>
      <w:rFonts w:ascii="Droid Sans Fallback" w:eastAsia="仿宋_GB2312" w:cs="仿宋_GB2312" w:hAnsi="Droid Sans Fallback"/>
      <w:sz w:val="32"/>
      <w:szCs w:val="32"/>
    </w:rPr>
  </w:style>
  <w:style w:type="paragraph" w:customStyle="1" w:styleId="134">
    <w:name w:val="英文格式"/>
    <w:basedOn w:val="0"/>
    <w:pPr>
      <w:spacing w:before="240" w:after="240"/>
      <w:jc w:val="left"/>
    </w:pPr>
    <w:rPr>
      <w:rFonts w:eastAsia="Times New Roman"/>
      <w:sz w:val="28"/>
    </w:rPr>
  </w:style>
  <w:style w:type="paragraph" w:customStyle="1" w:styleId="135">
    <w:name w:val="p0"/>
    <w:basedOn w:val="0"/>
    <w:pPr>
      <w:widowControl/>
      <w:jc w:val="left"/>
    </w:pPr>
    <w:rPr>
      <w:rFonts w:ascii="Calibri" w:eastAsia="宋体" w:cs="Times New Roman" w:hAnsi="Calibri"/>
      <w:kern w:val="0"/>
      <w:sz w:val="32"/>
      <w:szCs w:val="32"/>
      <w:lang w:val="en-US" w:eastAsia="zh-CN" w:bidi="ar-SA"/>
    </w:rPr>
  </w:style>
  <w:style w:type="character" w:customStyle="1" w:styleId="136">
    <w:name w:val="fontstyle01"/>
    <w:basedOn w:val="0"/>
    <w:rPr>
      <w:rFonts w:ascii="仿宋_GB2312" w:eastAsia="仿宋_GB2312" w:cs="仿宋_GB2312" w:hAnsi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4D076CC4-2CAC-40E0-BE3A-7C657707E9B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0</Words>
  <Characters>811</Characters>
  <Lines>0</Lines>
  <Paragraphs>32</Paragraphs>
  <CharactersWithSpaces>1082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2025-03-03T03:38:51Z</dcterms:created>
  <dcterms:modified xsi:type="dcterms:W3CDTF">2025-03-03T03:39:16Z</dcterms:modified>
</cp:coreProperties>
</file>