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560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ascii="方正黑体_GBK" w:eastAsia="方正黑体_GBK" w:cs="方正黑体_GBK" w:hint="eastAsia"/>
          <w:bCs/>
          <w:color w:val="000000"/>
          <w:sz w:val="32"/>
          <w:szCs w:val="32"/>
        </w:rPr>
        <w:t>附件6</w:t>
      </w:r>
    </w:p>
    <w:p>
      <w:pPr>
        <w:widowControl/>
        <w:spacing w:line="560" w:lineRule="exact"/>
        <w:rPr>
          <w:rFonts w:eastAsia="方正黑体_GBK"/>
          <w:bCs/>
          <w:color w:val="000000"/>
          <w:sz w:val="32"/>
          <w:szCs w:val="32"/>
        </w:rPr>
      </w:pPr>
    </w:p>
    <w:p>
      <w:pPr>
        <w:pStyle w:val="68"/>
        <w:spacing w:line="560" w:lineRule="exact"/>
        <w:ind w:left="643" w:firstLineChars="0" w:firstLine="0"/>
        <w:jc w:val="center"/>
        <w:rPr>
          <w:rFonts w:ascii="Times New Roman" w:eastAsia="方正黑体_GBK" w:cs="方正黑体_GBK" w:hAnsi="Times New Roman"/>
          <w:color w:val="000000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color w:val="000000"/>
          <w:sz w:val="44"/>
          <w:szCs w:val="44"/>
        </w:rPr>
        <w:t>活畜接驳场动物卫生防疫要求</w:t>
      </w:r>
    </w:p>
    <w:p>
      <w:pPr>
        <w:spacing w:line="560" w:lineRule="exact"/>
        <w:jc w:val="left"/>
        <w:rPr>
          <w:rFonts w:eastAsia="方正仿宋_GBK" w:cs="方正仿宋_GBK"/>
          <w:color w:val="000000"/>
          <w:sz w:val="32"/>
          <w:szCs w:val="32"/>
        </w:rPr>
      </w:pP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一、应与生活饮用水水源地、学校、医院等公共场所之间保持必要的距离，场址应地势高燥，通风、排水良好，应位于居民区主导风向的下风或侧向风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二、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应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与外界有效隔离，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配备必要的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消毒、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供电、供水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等设施设备，水质符合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国家规定的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生活饮用水卫生标准。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三、具有出入场、运输、日常巡查、残次剔除、无害化处理、疫情报告等管理制度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并有效运行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。配备与其接驳经营规模相适应的工作人员，且工作人员无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牛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结核病、布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鲁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氏菌病等人畜共患病。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bCs/>
          <w:color w:val="000000"/>
          <w:sz w:val="32"/>
          <w:szCs w:val="32"/>
        </w:rPr>
        <w:t>四、供港澳食用陆生动物需由海关在接驳场实施离境检疫的，接驳场还应符合以下要求：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 xml:space="preserve">1.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具有</w:t>
      </w:r>
      <w:r>
        <w:rPr>
          <w:rFonts w:ascii="Times New Roman" w:eastAsia="方正仿宋_GBK" w:cs="方正仿宋_GBK" w:hAnsi="Times New Roman" w:hint="eastAsia"/>
          <w:bCs/>
          <w:color w:val="000000"/>
          <w:sz w:val="32"/>
          <w:szCs w:val="32"/>
        </w:rPr>
        <w:t>经营主体资格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，不具备经营主体资格的，应当有经营该接驳场的经营主体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。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符合地方主管部门对动物防疫的要求，污水处理、排放符合国家有关畜禽养殖污染防治的要求。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 xml:space="preserve">2.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周围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公里范围内没有相关陆生动物饲养场、隔离场、屠宰厂、牲畜交易市场、动物诊疗场所、无害化处理场所等。不满足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公里条件的，要有自然屏障或人工屏障，配套与防疫相对应的隔断设施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。与居民生活区保持必要的距离。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 xml:space="preserve">3.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建有不低于</w:t>
      </w:r>
      <w:r>
        <w:rPr>
          <w:rFonts w:ascii="Times New Roman" w:eastAsia="方正仿宋_GBK" w:hAnsi="Times New Roman"/>
          <w:color w:val="000000"/>
          <w:sz w:val="32"/>
          <w:szCs w:val="32"/>
        </w:rPr>
        <w:t>2.5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米的实心围墙，与外界有效隔离。出入口应当设置值班室和符合防疫要求的车辆、人员等消毒通道，按照人车分离原则，车辆出入通道设置符合海关监管要求的电子闸口。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配备必要的防鼠、防虫、供电及备用供电、供水及蓄水设施设备。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 xml:space="preserve">4.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场内设置检疫作业区、检疫处理区和配套设施区等功能区域，不同功能区域分区合理。检疫作业区包括活畜装卸台、栏舍、通道等，检疫处理区包括药品储存室、器械物资储存室、消毒配药室、清洗消毒区、病死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畜禽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暂存区等，配套设施区包括符合海关监管要求的办公用房、技术用房、停车场等。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 xml:space="preserve">5.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接驳场出入口、装卸台、栏舍等重点区域应当设置符合海关监管要求的视频监控设备。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</w:p>
    <w:sectPr>
      <w:footerReference w:type="default" r:id="rId2"/>
      <w:footerReference w:type="even" r:id="rId3"/>
      <w:pgSz w:w="11907" w:h="16839"/>
      <w:pgMar w:top="1440" w:right="1803" w:bottom="1440" w:left="1803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01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  <w:rFonts w:ascii="宋体"/>
        <w:sz w:val="28"/>
        <w:szCs w:val="28"/>
      </w:rPr>
    </w:pPr>
  </w:p>
  <w:p>
    <w:pPr>
      <w:pStyle w:val="101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00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>
    <w:pPr>
      <w:pStyle w:val="100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8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9"/>
    <w:basedOn w:val="0"/>
    <w:autoRedefine/>
    <w:next w:val="0"/>
    <w:pPr>
      <w:ind w:left="336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rPr>
      <w:lang w:bidi="ar-SA"/>
    </w:rPr>
  </w:style>
  <w:style w:type="paragraph" w:styleId="19">
    <w:name w:val="List Number 3"/>
    <w:basedOn w:val="0"/>
    <w:pPr>
      <w:tabs>
        <w:tab w:val="left" w:pos="1200"/>
      </w:tabs>
      <w:ind w:left="1200" w:hanging="360"/>
    </w:pPr>
  </w:style>
  <w:style w:type="paragraph" w:styleId="20">
    <w:name w:val="Title"/>
    <w:basedOn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Body Text"/>
    <w:basedOn w:val="0"/>
    <w:pPr>
      <w:spacing w:after="120"/>
    </w:pPr>
  </w:style>
  <w:style w:type="paragraph" w:styleId="22">
    <w:name w:val="Body Text Indent"/>
    <w:basedOn w:val="0"/>
    <w:pPr>
      <w:spacing w:after="120"/>
      <w:ind w:left="420"/>
    </w:pPr>
  </w:style>
  <w:style w:type="paragraph" w:styleId="23">
    <w:name w:val="List Continue"/>
    <w:basedOn w:val="0"/>
    <w:pPr>
      <w:spacing w:after="120"/>
      <w:ind w:left="420"/>
    </w:pPr>
  </w:style>
  <w:style w:type="paragraph" w:styleId="24">
    <w:name w:val="List Continue 2"/>
    <w:basedOn w:val="0"/>
    <w:pPr>
      <w:spacing w:after="120"/>
      <w:ind w:left="840"/>
    </w:pPr>
  </w:style>
  <w:style w:type="paragraph" w:styleId="25">
    <w:name w:val="List Continue 3"/>
    <w:basedOn w:val="0"/>
    <w:pPr>
      <w:spacing w:after="120"/>
      <w:ind w:left="1260"/>
    </w:pPr>
  </w:style>
  <w:style w:type="paragraph" w:styleId="26">
    <w:name w:val="List Continue 4"/>
    <w:basedOn w:val="0"/>
    <w:pPr>
      <w:spacing w:after="120"/>
      <w:ind w:left="1680"/>
    </w:pPr>
  </w:style>
  <w:style w:type="paragraph" w:styleId="27">
    <w:name w:val="List Continue 5"/>
    <w:basedOn w:val="0"/>
    <w:pPr>
      <w:spacing w:after="120"/>
      <w:ind w:left="2100"/>
    </w:pPr>
  </w:style>
  <w:style w:type="paragraph" w:customStyle="1" w:styleId="28">
    <w:name w:val="样式 474 10 磅"/>
    <w:next w:val="1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508 10 磅"/>
    <w:next w:val="2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样式 2 10 磅"/>
    <w:next w:val="2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509 10 磅"/>
    <w:next w:val="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2">
    <w:name w:val="样式 3 10 磅"/>
    <w:next w:val="2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">
    <w:name w:val="样式 511 10 磅"/>
    <w:next w:val="2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样式 4 10 磅"/>
    <w:next w:val="2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5">
    <w:name w:val="样式 513 10 磅"/>
    <w:next w:val="2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7">
    <w:name w:val="样式 1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8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0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8 10 磅"/>
    <w:next w:val="3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5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47">
    <w:name w:val="Balloon Text"/>
    <w:basedOn w:val="0"/>
    <w:rPr>
      <w:sz w:val="18"/>
      <w:szCs w:val="18"/>
    </w:rPr>
  </w:style>
  <w:style w:type="paragraph" w:customStyle="1" w:styleId="48">
    <w:name w:val="样式 12 10 磅"/>
    <w:next w:val="34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3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列出段落1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31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32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35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6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2">
    <w:name w:val="样式 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3">
    <w:name w:val="样式 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4">
    <w:name w:val="样式 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5">
    <w:name w:val="样式 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6">
    <w:name w:val="样式 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7">
    <w:name w:val="样式 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8">
    <w:name w:val="样式 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9">
    <w:name w:val="样式 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0">
    <w:name w:val="样式 2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01">
    <w:name w:val="样式 3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5542</TotalTime>
  <Application>Yozo_Office</Application>
  <Pages>1</Pages>
  <Words>13</Words>
  <Characters>13</Characters>
  <Lines>1</Lines>
  <Paragraphs>0</Paragraphs>
  <CharactersWithSpaces>13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黄桂林</dc:creator>
  <cp:lastModifiedBy>何可欣</cp:lastModifiedBy>
  <cp:revision>14</cp:revision>
  <dcterms:created xsi:type="dcterms:W3CDTF">2023-11-16T01:15:00Z</dcterms:created>
  <dcterms:modified xsi:type="dcterms:W3CDTF">2024-10-21T07:40:43Z</dcterms:modified>
</cp:coreProperties>
</file>